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955B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方正黑体简体" w:eastAsia="方正黑体简体"/>
          <w:bCs/>
          <w:spacing w:val="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36"/>
        </w:rPr>
        <w:t>食品与健康学院</w:t>
      </w:r>
      <w:bookmarkStart w:id="0" w:name="OLE_LINK1"/>
      <w:r>
        <w:rPr>
          <w:rFonts w:ascii="方正小标宋简体" w:eastAsia="方正小标宋简体"/>
          <w:bCs/>
          <w:sz w:val="36"/>
          <w:szCs w:val="36"/>
        </w:rPr>
        <w:t>20</w:t>
      </w:r>
      <w:r>
        <w:rPr>
          <w:rFonts w:hint="eastAsia" w:ascii="方正小标宋简体" w:eastAsia="方正小标宋简体"/>
          <w:bCs/>
          <w:sz w:val="36"/>
          <w:szCs w:val="36"/>
          <w:lang w:val="en-US"/>
        </w:rPr>
        <w:t>24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Hans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lang w:val="en-US"/>
        </w:rPr>
        <w:t>“食创杯”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Hans"/>
        </w:rPr>
        <w:t>科创项目信息征集表</w:t>
      </w:r>
      <w:bookmarkEnd w:id="0"/>
    </w:p>
    <w:p w14:paraId="08B4BEDF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</w:p>
    <w:p w14:paraId="190B1967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方正楷体简体" w:hAnsi="方正楷体简体" w:eastAsia="方正楷体简体" w:cs="方正楷体简体"/>
          <w:bCs/>
          <w:spacing w:val="6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一、项目</w:t>
      </w:r>
      <w:r>
        <w:rPr>
          <w:rFonts w:hint="eastAsia" w:ascii="方正黑体简体" w:eastAsia="方正黑体简体"/>
          <w:bCs/>
          <w:spacing w:val="6"/>
          <w:sz w:val="32"/>
          <w:szCs w:val="32"/>
          <w:lang w:val="en-US"/>
        </w:rPr>
        <w:t>指导教师</w:t>
      </w:r>
      <w:r>
        <w:rPr>
          <w:rFonts w:hint="eastAsia" w:ascii="方正黑体简体" w:eastAsia="方正黑体简体"/>
          <w:bCs/>
          <w:spacing w:val="6"/>
          <w:sz w:val="32"/>
          <w:szCs w:val="32"/>
        </w:rPr>
        <w:t>信息</w:t>
      </w:r>
    </w:p>
    <w:tbl>
      <w:tblPr>
        <w:tblStyle w:val="4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440"/>
      </w:tblGrid>
      <w:tr w14:paraId="0ECF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59DA3439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姓名</w:t>
            </w:r>
          </w:p>
        </w:tc>
        <w:tc>
          <w:tcPr>
            <w:tcW w:w="6440" w:type="dxa"/>
            <w:vAlign w:val="center"/>
          </w:tcPr>
          <w:p w14:paraId="23124434">
            <w:pPr>
              <w:jc w:val="center"/>
              <w:textAlignment w:val="center"/>
              <w:rPr>
                <w:rFonts w:eastAsiaTheme="minorEastAsia"/>
                <w:color w:val="000000"/>
                <w:lang w:val="en-US"/>
              </w:rPr>
            </w:pPr>
            <w:r>
              <w:rPr>
                <w:rFonts w:eastAsiaTheme="minorEastAsia"/>
                <w:color w:val="000000"/>
                <w:lang w:val="en-US"/>
              </w:rPr>
              <w:t>曹锦轩</w:t>
            </w:r>
          </w:p>
        </w:tc>
      </w:tr>
      <w:tr w14:paraId="1481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60" w:type="dxa"/>
            <w:vAlign w:val="center"/>
          </w:tcPr>
          <w:p w14:paraId="3F3EE123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所属专业</w:t>
            </w:r>
          </w:p>
        </w:tc>
        <w:tc>
          <w:tcPr>
            <w:tcW w:w="6440" w:type="dxa"/>
            <w:vAlign w:val="center"/>
          </w:tcPr>
          <w:p w14:paraId="6A4FDA92">
            <w:pPr>
              <w:jc w:val="center"/>
              <w:textAlignment w:val="center"/>
              <w:rPr>
                <w:rFonts w:eastAsiaTheme="minorEastAsia"/>
                <w:color w:val="000000"/>
                <w:lang w:val="en-US"/>
              </w:rPr>
            </w:pPr>
            <w:r>
              <w:rPr>
                <w:rFonts w:eastAsiaTheme="minorEastAsia"/>
                <w:color w:val="000000"/>
                <w:lang w:val="en-US"/>
              </w:rPr>
              <w:t>食品营养与健康</w:t>
            </w:r>
          </w:p>
        </w:tc>
      </w:tr>
      <w:tr w14:paraId="0F46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368CC60B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职务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职称</w:t>
            </w:r>
          </w:p>
        </w:tc>
        <w:tc>
          <w:tcPr>
            <w:tcW w:w="6440" w:type="dxa"/>
            <w:vAlign w:val="center"/>
          </w:tcPr>
          <w:p w14:paraId="519654F5">
            <w:pPr>
              <w:adjustRightIn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教授</w:t>
            </w:r>
          </w:p>
        </w:tc>
      </w:tr>
      <w:tr w14:paraId="771E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11607433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方式</w:t>
            </w:r>
          </w:p>
          <w:p w14:paraId="3C568D76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（电话</w:t>
            </w:r>
            <w:r>
              <w:rPr>
                <w:rFonts w:ascii="方正楷体简体" w:eastAsia="方正楷体简体"/>
                <w:sz w:val="28"/>
                <w:szCs w:val="32"/>
                <w:lang w:eastAsia="zh-Hans"/>
              </w:rPr>
              <w:t>/</w:t>
            </w:r>
            <w:r>
              <w:rPr>
                <w:rFonts w:hint="eastAsia" w:ascii="方正楷体简体" w:eastAsia="方正楷体简体"/>
                <w:sz w:val="28"/>
                <w:szCs w:val="32"/>
                <w:lang w:val="en-US" w:eastAsia="zh-Hans"/>
              </w:rPr>
              <w:t>邮箱）</w:t>
            </w:r>
          </w:p>
        </w:tc>
        <w:tc>
          <w:tcPr>
            <w:tcW w:w="6440" w:type="dxa"/>
            <w:vAlign w:val="center"/>
          </w:tcPr>
          <w:p w14:paraId="5F7DC5E7">
            <w:pPr>
              <w:adjustRightIn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 caojinxuan@btbu.edu.cn</w:t>
            </w:r>
          </w:p>
        </w:tc>
      </w:tr>
      <w:tr w14:paraId="2B41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0" w:type="dxa"/>
            <w:vAlign w:val="center"/>
          </w:tcPr>
          <w:p w14:paraId="56066EDD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联系地址</w:t>
            </w:r>
          </w:p>
        </w:tc>
        <w:tc>
          <w:tcPr>
            <w:tcW w:w="6440" w:type="dxa"/>
            <w:vAlign w:val="center"/>
          </w:tcPr>
          <w:p w14:paraId="4FD7F791">
            <w:pPr>
              <w:adjustRightIn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北京工商大学东区耕耘楼306（阜成路校区）</w:t>
            </w:r>
          </w:p>
        </w:tc>
      </w:tr>
      <w:tr w14:paraId="48EE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2160" w:type="dxa"/>
            <w:vAlign w:val="center"/>
          </w:tcPr>
          <w:p w14:paraId="01B4423A">
            <w:pPr>
              <w:adjustRightIn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32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32"/>
                <w:lang w:val="en-US"/>
              </w:rPr>
              <w:t>教师简介</w:t>
            </w:r>
          </w:p>
        </w:tc>
        <w:tc>
          <w:tcPr>
            <w:tcW w:w="6440" w:type="dxa"/>
          </w:tcPr>
          <w:p w14:paraId="7B5D5BC5">
            <w:pPr>
              <w:tabs>
                <w:tab w:val="left" w:pos="604"/>
              </w:tabs>
              <w:adjustRightInd w:val="0"/>
              <w:jc w:val="both"/>
              <w:rPr>
                <w:rFonts w:eastAsiaTheme="minorEastAsia"/>
                <w:lang w:val="en-US"/>
              </w:rPr>
            </w:pPr>
            <w:r>
              <w:rPr>
                <w:rFonts w:hint="eastAsia" w:eastAsiaTheme="minorEastAsia"/>
                <w:b/>
                <w:bCs/>
                <w:lang w:val="en-US"/>
              </w:rPr>
              <w:t>【个人简介</w:t>
            </w:r>
            <w:r>
              <w:rPr>
                <w:rFonts w:hint="eastAsia" w:eastAsiaTheme="minorEastAsia"/>
                <w:lang w:val="en-US"/>
              </w:rPr>
              <w:t>】</w:t>
            </w:r>
          </w:p>
          <w:p w14:paraId="47969752">
            <w:pPr>
              <w:tabs>
                <w:tab w:val="left" w:pos="604"/>
              </w:tabs>
              <w:adjustRightInd w:val="0"/>
              <w:spacing w:line="360" w:lineRule="auto"/>
              <w:ind w:firstLine="480" w:firstLineChars="200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二级教授，博导，教育部长江学者特聘教授，国家优秀青年科学基金获得者，Food Chemistry编委，Foods客座编辑，Frontiers in Microbiology客座编辑，Frontiers in Nutrition客座编辑，《食品科学》青年编委，《未来食品科学》编委，《肉类研究》编委，中国生物工程学会理事，中国畜产品加工研究会理事，全国畜牧业标准化技术委员会猪业标准化工作组委员，中国食品科学技术学会青工委委员，浙江省杰青，浙江省新世纪“151”人才，浙江省高校中青年学科带头人，北京工商大学“畜产品加工与功能化利用”课题组负责人。</w:t>
            </w:r>
          </w:p>
          <w:p w14:paraId="7737EDD7">
            <w:pPr>
              <w:tabs>
                <w:tab w:val="left" w:pos="604"/>
              </w:tabs>
              <w:adjustRightInd w:val="0"/>
              <w:jc w:val="both"/>
              <w:rPr>
                <w:rFonts w:eastAsiaTheme="minorEastAsia"/>
                <w:lang w:val="en-US"/>
              </w:rPr>
            </w:pPr>
            <w:r>
              <w:rPr>
                <w:rFonts w:hint="eastAsia" w:eastAsiaTheme="minorEastAsia"/>
                <w:lang w:val="en-US"/>
              </w:rPr>
              <w:t>【</w:t>
            </w:r>
            <w:r>
              <w:rPr>
                <w:rFonts w:hint="eastAsia" w:eastAsiaTheme="minorEastAsia"/>
                <w:b/>
                <w:bCs/>
                <w:lang w:val="en-US"/>
              </w:rPr>
              <w:t>主要研究领域</w:t>
            </w:r>
            <w:r>
              <w:rPr>
                <w:rFonts w:hint="eastAsia" w:eastAsiaTheme="minorEastAsia"/>
                <w:lang w:val="en-US"/>
              </w:rPr>
              <w:t>】</w:t>
            </w:r>
          </w:p>
          <w:p w14:paraId="37AC5521">
            <w:pPr>
              <w:tabs>
                <w:tab w:val="left" w:pos="604"/>
              </w:tabs>
              <w:adjustRightInd w:val="0"/>
              <w:spacing w:line="360" w:lineRule="auto"/>
              <w:ind w:firstLine="480" w:firstLineChars="200"/>
              <w:jc w:val="both"/>
              <w:rPr>
                <w:rFonts w:eastAsiaTheme="minorEastAsia"/>
                <w:lang w:val="en-US"/>
              </w:rPr>
            </w:pPr>
            <w:r>
              <w:rPr>
                <w:rFonts w:hint="eastAsia" w:eastAsiaTheme="minorEastAsia"/>
                <w:lang w:val="en-US"/>
              </w:rPr>
              <w:t>研究聚焦于畜产品加工与资源功能化利用：肉制品嫩度改善机制，传统肉制品风味形成与稳定性调控机制，功能性糜类肉制品与骨汤开发，畜产危害因子快速检测，畜产源生物钙营养转运，畜产源微纳分子自组装与递送。主持或完成国家级课题</w:t>
            </w:r>
            <w:r>
              <w:rPr>
                <w:rFonts w:eastAsiaTheme="minorEastAsia"/>
                <w:lang w:val="en-US"/>
              </w:rPr>
              <w:t>7</w:t>
            </w:r>
            <w:r>
              <w:rPr>
                <w:rFonts w:hint="eastAsia" w:eastAsiaTheme="minorEastAsia"/>
                <w:lang w:val="en-US"/>
              </w:rPr>
              <w:t>项（国家自然科学基金</w:t>
            </w:r>
            <w:r>
              <w:rPr>
                <w:rFonts w:eastAsiaTheme="minorEastAsia"/>
                <w:lang w:val="en-US"/>
              </w:rPr>
              <w:t>4</w:t>
            </w:r>
            <w:r>
              <w:rPr>
                <w:rFonts w:hint="eastAsia" w:eastAsiaTheme="minorEastAsia"/>
                <w:lang w:val="en-US"/>
              </w:rPr>
              <w:t>项），</w:t>
            </w:r>
            <w:r>
              <w:rPr>
                <w:rFonts w:eastAsiaTheme="minorEastAsia"/>
                <w:lang w:val="en-US"/>
              </w:rPr>
              <w:t>H</w:t>
            </w:r>
            <w:r>
              <w:rPr>
                <w:rFonts w:hint="eastAsia" w:eastAsiaTheme="minorEastAsia"/>
                <w:lang w:val="en-US"/>
              </w:rPr>
              <w:t>指数</w:t>
            </w:r>
            <w:r>
              <w:rPr>
                <w:rFonts w:eastAsiaTheme="minorEastAsia"/>
                <w:lang w:val="en-US"/>
              </w:rPr>
              <w:t>46</w:t>
            </w:r>
            <w:r>
              <w:rPr>
                <w:rFonts w:hint="eastAsia" w:eastAsiaTheme="minorEastAsia"/>
                <w:lang w:val="en-US"/>
              </w:rPr>
              <w:t>，第一</w:t>
            </w:r>
            <w:r>
              <w:rPr>
                <w:rFonts w:eastAsiaTheme="minorEastAsia"/>
                <w:lang w:val="en-US"/>
              </w:rPr>
              <w:t>/</w:t>
            </w:r>
            <w:r>
              <w:rPr>
                <w:rFonts w:hint="eastAsia" w:eastAsiaTheme="minorEastAsia"/>
                <w:lang w:val="en-US"/>
              </w:rPr>
              <w:t>通讯作者（含共同）发表</w:t>
            </w:r>
            <w:r>
              <w:rPr>
                <w:rFonts w:eastAsiaTheme="minorEastAsia"/>
                <w:lang w:val="en-US"/>
              </w:rPr>
              <w:t>SCI</w:t>
            </w:r>
            <w:r>
              <w:rPr>
                <w:rFonts w:hint="eastAsia" w:eastAsiaTheme="minorEastAsia"/>
                <w:lang w:val="en-US"/>
              </w:rPr>
              <w:t>收录期刊论文</w:t>
            </w:r>
            <w:r>
              <w:rPr>
                <w:rFonts w:eastAsiaTheme="minorEastAsia"/>
                <w:lang w:val="en-US"/>
              </w:rPr>
              <w:t>90</w:t>
            </w:r>
            <w:r>
              <w:rPr>
                <w:rFonts w:hint="eastAsia" w:eastAsiaTheme="minorEastAsia"/>
                <w:lang w:val="en-US"/>
              </w:rPr>
              <w:t>余篇，其中</w:t>
            </w:r>
            <w:r>
              <w:rPr>
                <w:rFonts w:eastAsiaTheme="minorEastAsia"/>
                <w:lang w:val="en-US"/>
              </w:rPr>
              <w:t>JCR</w:t>
            </w:r>
            <w:r>
              <w:rPr>
                <w:rFonts w:hint="eastAsia" w:eastAsiaTheme="minorEastAsia"/>
                <w:lang w:val="en-US"/>
              </w:rPr>
              <w:t>一区</w:t>
            </w:r>
            <w:r>
              <w:rPr>
                <w:rFonts w:eastAsiaTheme="minorEastAsia"/>
                <w:lang w:val="en-US"/>
              </w:rPr>
              <w:t>81</w:t>
            </w:r>
            <w:r>
              <w:rPr>
                <w:rFonts w:hint="eastAsia" w:eastAsiaTheme="minorEastAsia"/>
                <w:lang w:val="en-US"/>
              </w:rPr>
              <w:t>篇，副主编国家十二五教材《畜产食品工艺学》和《畜产食品工艺学实验指导》，参译《</w:t>
            </w:r>
            <w:r>
              <w:rPr>
                <w:rFonts w:eastAsiaTheme="minorEastAsia"/>
                <w:lang w:val="en-US"/>
              </w:rPr>
              <w:t>Lawrie</w:t>
            </w:r>
            <w:r>
              <w:rPr>
                <w:rFonts w:hint="eastAsia" w:eastAsiaTheme="minorEastAsia"/>
                <w:lang w:val="en-US"/>
              </w:rPr>
              <w:t>的肉品科学》，授权国家发明专利</w:t>
            </w:r>
            <w:r>
              <w:rPr>
                <w:rFonts w:eastAsiaTheme="minorEastAsia"/>
                <w:lang w:val="en-US"/>
              </w:rPr>
              <w:t>42</w:t>
            </w:r>
            <w:r>
              <w:rPr>
                <w:rFonts w:hint="eastAsia" w:eastAsiaTheme="minorEastAsia"/>
                <w:lang w:val="en-US"/>
              </w:rPr>
              <w:t>项</w:t>
            </w:r>
            <w:r>
              <w:rPr>
                <w:rFonts w:eastAsiaTheme="minorEastAsia"/>
                <w:lang w:val="en-US"/>
              </w:rPr>
              <w:t>(</w:t>
            </w:r>
            <w:r>
              <w:rPr>
                <w:rFonts w:hint="eastAsia" w:eastAsiaTheme="minorEastAsia"/>
                <w:lang w:val="en-US"/>
              </w:rPr>
              <w:t>转让转化</w:t>
            </w:r>
            <w:r>
              <w:rPr>
                <w:rFonts w:eastAsiaTheme="minorEastAsia"/>
                <w:lang w:val="en-US"/>
              </w:rPr>
              <w:t>9</w:t>
            </w:r>
            <w:r>
              <w:rPr>
                <w:rFonts w:hint="eastAsia" w:eastAsiaTheme="minorEastAsia"/>
                <w:lang w:val="en-US"/>
              </w:rPr>
              <w:t>项</w:t>
            </w:r>
            <w:r>
              <w:rPr>
                <w:rFonts w:eastAsiaTheme="minorEastAsia"/>
                <w:lang w:val="en-US"/>
              </w:rPr>
              <w:t>)</w:t>
            </w:r>
            <w:r>
              <w:rPr>
                <w:rFonts w:hint="eastAsia" w:eastAsiaTheme="minorEastAsia"/>
                <w:lang w:val="en-US"/>
              </w:rPr>
              <w:t>。</w:t>
            </w:r>
          </w:p>
          <w:p w14:paraId="694AAEEC">
            <w:pPr>
              <w:tabs>
                <w:tab w:val="left" w:pos="604"/>
              </w:tabs>
              <w:adjustRightInd w:val="0"/>
              <w:jc w:val="both"/>
              <w:rPr>
                <w:rFonts w:eastAsiaTheme="minorEastAsia"/>
                <w:lang w:val="en-US"/>
              </w:rPr>
            </w:pPr>
            <w:r>
              <w:rPr>
                <w:rFonts w:hint="eastAsia" w:eastAsiaTheme="minorEastAsia"/>
                <w:lang w:val="en-US"/>
              </w:rPr>
              <w:t>【</w:t>
            </w:r>
            <w:r>
              <w:rPr>
                <w:rFonts w:hint="eastAsia" w:eastAsiaTheme="minorEastAsia"/>
                <w:b/>
                <w:bCs/>
                <w:lang w:val="en-US"/>
              </w:rPr>
              <w:t>主要科研获奖</w:t>
            </w:r>
            <w:r>
              <w:rPr>
                <w:rFonts w:hint="eastAsia" w:eastAsiaTheme="minorEastAsia"/>
                <w:lang w:val="en-US"/>
              </w:rPr>
              <w:t>】</w:t>
            </w:r>
          </w:p>
          <w:p w14:paraId="34132D1D">
            <w:pPr>
              <w:keepNext w:val="0"/>
              <w:keepLines w:val="0"/>
              <w:pageBreakBefore w:val="0"/>
              <w:widowControl/>
              <w:tabs>
                <w:tab w:val="left" w:pos="6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eastAsiaTheme="minorEastAsia"/>
                <w:lang w:val="en-US"/>
              </w:rPr>
            </w:pPr>
            <w:r>
              <w:rPr>
                <w:rFonts w:hint="eastAsia" w:eastAsiaTheme="minorEastAsia"/>
                <w:lang w:val="en-US"/>
              </w:rPr>
              <w:t>以主要完成人荣获教育部高等学校优秀成果（科技进步）一等奖、江苏省科技进步一等奖、中国轻工联合会一等奖、浙江省自然科学二等奖、宁波市自然科学二等奖、全国教学数字化大赛一等奖（北京赛区冠军）、第三届</w:t>
            </w:r>
            <w:r>
              <w:rPr>
                <w:rFonts w:eastAsiaTheme="minorEastAsia"/>
                <w:lang w:val="en-US"/>
              </w:rPr>
              <w:t>&amp;</w:t>
            </w:r>
            <w:r>
              <w:rPr>
                <w:rFonts w:hint="eastAsia" w:eastAsiaTheme="minorEastAsia"/>
                <w:lang w:val="en-US"/>
              </w:rPr>
              <w:t>第四届北京市高校教师教学创新大赛三等奖、北京市高校优质本科教材课件奖等奖项，荣获</w:t>
            </w:r>
            <w:r>
              <w:rPr>
                <w:rFonts w:eastAsiaTheme="minorEastAsia"/>
                <w:lang w:val="en-US"/>
              </w:rPr>
              <w:t>Trends in Analytical Chemistry</w:t>
            </w:r>
            <w:r>
              <w:rPr>
                <w:rFonts w:hint="eastAsia" w:eastAsiaTheme="minorEastAsia"/>
                <w:lang w:val="en-US"/>
              </w:rPr>
              <w:t>、</w:t>
            </w:r>
          </w:p>
          <w:p w14:paraId="161A8D3D">
            <w:pPr>
              <w:keepNext w:val="0"/>
              <w:keepLines w:val="0"/>
              <w:pageBreakBefore w:val="0"/>
              <w:widowControl/>
              <w:tabs>
                <w:tab w:val="left" w:pos="6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Food Hydrocolloids</w:t>
            </w:r>
            <w:r>
              <w:rPr>
                <w:rFonts w:hint="eastAsia" w:eastAsiaTheme="minorEastAsia"/>
                <w:lang w:val="en-US"/>
              </w:rPr>
              <w:t>、</w:t>
            </w:r>
            <w:r>
              <w:rPr>
                <w:rFonts w:eastAsiaTheme="minorEastAsia"/>
                <w:lang w:val="en-US"/>
              </w:rPr>
              <w:t xml:space="preserve">International Journal of Biological </w:t>
            </w:r>
          </w:p>
          <w:p w14:paraId="71258F10">
            <w:pPr>
              <w:keepNext w:val="0"/>
              <w:keepLines w:val="0"/>
              <w:pageBreakBefore w:val="0"/>
              <w:widowControl/>
              <w:tabs>
                <w:tab w:val="left" w:pos="6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both"/>
              <w:textAlignment w:val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Macromolecules</w:t>
            </w:r>
            <w:r>
              <w:rPr>
                <w:rFonts w:hint="eastAsia" w:eastAsiaTheme="minorEastAsia"/>
                <w:lang w:val="en-US"/>
              </w:rPr>
              <w:t>、</w:t>
            </w:r>
            <w:r>
              <w:rPr>
                <w:rFonts w:eastAsiaTheme="minorEastAsia"/>
                <w:lang w:val="en-US"/>
              </w:rPr>
              <w:t>Ultrasonics Sonochemistry</w:t>
            </w:r>
            <w:r>
              <w:rPr>
                <w:rFonts w:hint="eastAsia" w:eastAsiaTheme="minorEastAsia"/>
                <w:lang w:val="en-US"/>
              </w:rPr>
              <w:t>、</w:t>
            </w:r>
            <w:r>
              <w:rPr>
                <w:rFonts w:eastAsiaTheme="minorEastAsia"/>
                <w:lang w:val="en-US"/>
              </w:rPr>
              <w:t>Food ResearchInternational</w:t>
            </w:r>
            <w:r>
              <w:rPr>
                <w:rFonts w:hint="eastAsia" w:eastAsiaTheme="minorEastAsia"/>
                <w:lang w:val="en-US"/>
              </w:rPr>
              <w:t>等著名杂志杰出审稿人奖</w:t>
            </w:r>
            <w:r>
              <w:rPr>
                <w:rFonts w:eastAsiaTheme="minorEastAsia"/>
                <w:lang w:val="en-US"/>
              </w:rPr>
              <w:t>(</w:t>
            </w:r>
            <w:r>
              <w:rPr>
                <w:rFonts w:hint="eastAsia" w:eastAsiaTheme="minorEastAsia"/>
                <w:lang w:val="en-US"/>
              </w:rPr>
              <w:t>全球</w:t>
            </w:r>
            <w:r>
              <w:rPr>
                <w:rFonts w:eastAsiaTheme="minorEastAsia"/>
                <w:lang w:val="en-US"/>
              </w:rPr>
              <w:t>Top10%)</w:t>
            </w:r>
            <w:r>
              <w:rPr>
                <w:rFonts w:hint="eastAsia" w:eastAsiaTheme="minorEastAsia"/>
                <w:lang w:val="en-US"/>
              </w:rPr>
              <w:t>，</w:t>
            </w:r>
            <w:r>
              <w:rPr>
                <w:rFonts w:eastAsiaTheme="minorEastAsia"/>
                <w:lang w:val="en-US"/>
              </w:rPr>
              <w:t>2021</w:t>
            </w:r>
            <w:r>
              <w:rPr>
                <w:rFonts w:hint="eastAsia" w:eastAsiaTheme="minorEastAsia"/>
                <w:lang w:val="en-US"/>
              </w:rPr>
              <w:t>年、</w:t>
            </w:r>
            <w:r>
              <w:rPr>
                <w:rFonts w:eastAsiaTheme="minorEastAsia"/>
                <w:lang w:val="en-US"/>
              </w:rPr>
              <w:t>2022</w:t>
            </w:r>
            <w:r>
              <w:rPr>
                <w:rFonts w:hint="eastAsia" w:eastAsiaTheme="minorEastAsia"/>
                <w:lang w:val="en-US"/>
              </w:rPr>
              <w:t>年和2024年入选全球前</w:t>
            </w:r>
            <w:r>
              <w:rPr>
                <w:rFonts w:eastAsiaTheme="minorEastAsia"/>
                <w:lang w:val="en-US"/>
              </w:rPr>
              <w:t>2%</w:t>
            </w:r>
            <w:r>
              <w:rPr>
                <w:rFonts w:hint="eastAsia" w:eastAsiaTheme="minorEastAsia"/>
                <w:lang w:val="en-US"/>
              </w:rPr>
              <w:t>科学家榜单。</w:t>
            </w:r>
          </w:p>
        </w:tc>
      </w:tr>
    </w:tbl>
    <w:p w14:paraId="7ABD017D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  <w:r>
        <w:rPr>
          <w:rFonts w:hint="eastAsia" w:ascii="方正黑体简体" w:eastAsia="方正黑体简体"/>
          <w:bCs/>
          <w:spacing w:val="6"/>
          <w:sz w:val="32"/>
          <w:szCs w:val="32"/>
        </w:rPr>
        <w:t>二、项目选题说明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12"/>
        <w:gridCol w:w="6392"/>
      </w:tblGrid>
      <w:tr w14:paraId="543F7D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F21FB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选题名称</w:t>
            </w: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1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F7608A">
            <w:pPr>
              <w:adjustRightInd w:val="0"/>
              <w:jc w:val="center"/>
              <w:rPr>
                <w:rFonts w:ascii="Times New Roman Regular" w:hAnsi="Times New Roman Regular" w:eastAsia="方正仿宋简体" w:cs="Times New Roman Regular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b/>
                <w:bCs/>
              </w:rPr>
              <w:t>牦牛壮骨钙醋饮料研发与企业应用示范</w:t>
            </w:r>
          </w:p>
        </w:tc>
      </w:tr>
      <w:tr w14:paraId="199DB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D8804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选题背景及意义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17BAF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我国人口老年化趋势越发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明显，钙缺乏人群比例较高</w:t>
            </w:r>
          </w:p>
          <w:p w14:paraId="156DB5A9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</w:pPr>
            <w:r>
              <w:rPr>
                <w:rFonts w:eastAsia="宋体"/>
                <w:lang w:val="en-US"/>
              </w:rPr>
              <w:t>国家卫生和计划生育委员会、科技部和国家统计局联合发布的《中国居民营养与健康状况调查报告》显示，常量元素中，我国居民平均每标准人日钙摄入量仅为</w:t>
            </w:r>
            <w:r>
              <w:rPr>
                <w:rFonts w:hint="eastAsia" w:eastAsia="宋体"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388.8</w:t>
            </w:r>
            <w:r>
              <w:rPr>
                <w:rFonts w:hint="eastAsia" w:eastAsia="宋体"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mg，远低于推荐的适宜摄入量</w:t>
            </w:r>
            <w:r>
              <w:rPr>
                <w:rFonts w:hint="eastAsia" w:eastAsia="宋体"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AI</w:t>
            </w:r>
            <w:r>
              <w:rPr>
                <w:rFonts w:hint="eastAsia" w:eastAsia="宋体"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值</w:t>
            </w:r>
            <w:r>
              <w:rPr>
                <w:rFonts w:hint="eastAsia" w:eastAsia="宋体"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800</w:t>
            </w:r>
            <w:r>
              <w:rPr>
                <w:rFonts w:hint="eastAsia" w:eastAsia="宋体"/>
                <w:lang w:val="en-US"/>
              </w:rPr>
              <w:t xml:space="preserve"> </w:t>
            </w:r>
            <w:r>
              <w:rPr>
                <w:rFonts w:eastAsia="宋体"/>
                <w:lang w:val="en-US"/>
              </w:rPr>
              <w:t>mg/d，并呈下降趋势</w:t>
            </w:r>
            <w:r>
              <w:rPr>
                <w:rFonts w:eastAsia="宋体"/>
              </w:rPr>
              <w:t>，96.6%</w:t>
            </w:r>
            <w:r>
              <w:rPr>
                <w:rFonts w:hint="eastAsia" w:eastAsia="宋体"/>
              </w:rPr>
              <w:t xml:space="preserve"> </w:t>
            </w:r>
            <w:r>
              <w:rPr>
                <w:rFonts w:eastAsia="宋体"/>
              </w:rPr>
              <w:t>的国人钙摄入量不足</w:t>
            </w:r>
            <w:r>
              <w:rPr>
                <w:rFonts w:eastAsia="宋体"/>
                <w:lang w:val="en-US"/>
              </w:rPr>
              <w:t>。</w:t>
            </w:r>
            <w:r>
              <w:rPr>
                <w:rFonts w:hint="eastAsia" w:ascii="宋体" w:hAnsi="宋体" w:eastAsia="宋体" w:cs="宋体"/>
              </w:rPr>
              <w:t>我国缺钙人群的健康问题已成为经济社会发展制约因素。由于国民膳食结构、饮食习惯、营养状态、生理因素等的影响，我国公民缺钙人群占比较高，</w:t>
            </w:r>
            <w:r>
              <w:rPr>
                <w:rFonts w:hint="eastAsia" w:ascii="宋体" w:hAnsi="宋体" w:eastAsia="宋体" w:cs="宋体"/>
                <w:lang w:val="en-US"/>
              </w:rPr>
              <w:t>缺钙健康</w:t>
            </w:r>
            <w:r>
              <w:rPr>
                <w:rFonts w:hint="eastAsia" w:ascii="宋体" w:hAnsi="宋体" w:eastAsia="宋体" w:cs="宋体"/>
              </w:rPr>
              <w:t>状况令人忧虑，合理补钙正受到关注。人体缺钙可能引起诸多疾病，孕妇缺钙可导致妊高征</w:t>
            </w:r>
            <w:r>
              <w:t>-</w:t>
            </w:r>
            <w:r>
              <w:rPr>
                <w:rFonts w:hint="eastAsia" w:ascii="宋体" w:hAnsi="宋体" w:eastAsia="宋体" w:cs="宋体"/>
              </w:rPr>
              <w:t>妊娠高血压综合征，严重缺钙时可导致子痫，危及生命。儿童缺钙表现为毛发稀疏发黄、枕秃等症状。易患手足搐搦、感冒等疾患；严重缺钙时，可导致佝偻病。中老年人缺钙易出现骨质疏松、骨质增生、肩周炎等疾病。钙缺乏问题始终威胁着我国公民身体健康和经济社会发展，从营养学角度考虑，合理补充钙摄入，大力开发优质钙补充剂刻不容缓，理应上升成为我国解决社会问题的重要国家策略。</w:t>
            </w:r>
          </w:p>
          <w:p w14:paraId="2CDED2E3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钙补充剂市场上主流产品问题较多，日常膳食补充钙</w:t>
            </w:r>
            <w:r>
              <w:rPr>
                <w:rFonts w:hint="eastAsia"/>
                <w:b/>
                <w:bCs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食疗</w:t>
            </w:r>
            <w:r>
              <w:rPr>
                <w:b/>
                <w:bCs/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已成趋势</w:t>
            </w:r>
          </w:p>
          <w:p w14:paraId="7B4D14AB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</w:pPr>
            <w:r>
              <w:rPr>
                <w:rFonts w:hint="eastAsia" w:ascii="宋体" w:hAnsi="宋体" w:eastAsia="宋体" w:cs="宋体"/>
              </w:rPr>
              <w:t>我国市场所流通的钙补充剂产品质量问题突出</w:t>
            </w:r>
            <w:r>
              <w:rPr>
                <w:rFonts w:hint="eastAsia" w:ascii="宋体" w:hAnsi="宋体" w:eastAsia="宋体" w:cs="宋体"/>
                <w:lang w:val="en-US"/>
              </w:rPr>
              <w:t>，目前国际与国内尚无钙含量与钙吸收率质量</w:t>
            </w:r>
            <w:r>
              <w:rPr>
                <w:rFonts w:hint="eastAsia" w:ascii="宋体" w:hAnsi="宋体" w:eastAsia="宋体" w:cs="宋体"/>
              </w:rPr>
              <w:t>相应的国家或行业标准进行约束和监管。钙补充剂一般分为无机钙和有机钙。无机钙以碳酸钙</w:t>
            </w:r>
            <w:r>
              <w:rPr>
                <w:rFonts w:hint="eastAsia" w:ascii="宋体" w:hAnsi="宋体" w:eastAsia="宋体" w:cs="宋体"/>
                <w:lang w:val="en-US"/>
              </w:rPr>
              <w:t>和</w:t>
            </w:r>
            <w:r>
              <w:rPr>
                <w:rFonts w:hint="eastAsia" w:ascii="宋体" w:hAnsi="宋体" w:eastAsia="宋体" w:cs="宋体"/>
              </w:rPr>
              <w:t>磷酸氢钙为主要代表，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目前市场上 </w:t>
            </w:r>
            <w:r>
              <w:rPr>
                <w:lang w:val="en-US"/>
              </w:rPr>
              <w:t>95%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以上钙补充剂，包括</w:t>
            </w:r>
            <w:r>
              <w:rPr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lang w:val="en-US"/>
              </w:rPr>
              <w:t>钙中钙</w:t>
            </w:r>
            <w:r>
              <w:rPr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lang w:val="en-US"/>
              </w:rPr>
              <w:t>、</w:t>
            </w:r>
            <w:r>
              <w:rPr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lang w:val="en-US"/>
              </w:rPr>
              <w:t>钙尔奇</w:t>
            </w:r>
            <w:r>
              <w:rPr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lang w:val="en-US"/>
              </w:rPr>
              <w:t>、</w:t>
            </w:r>
            <w:r>
              <w:rPr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lang w:val="en-US"/>
              </w:rPr>
              <w:t>巨能钙</w:t>
            </w:r>
            <w:r>
              <w:rPr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lang w:val="en-US"/>
              </w:rPr>
              <w:t>均</w:t>
            </w:r>
            <w:r>
              <w:rPr>
                <w:rFonts w:hint="eastAsia" w:ascii="宋体" w:hAnsi="宋体" w:eastAsia="宋体" w:cs="宋体"/>
              </w:rPr>
              <w:t>属于这一类。无机钙的共同特点是尺度大、水溶性差，难以分散，无法直接穿透被肠道吸收，在胃里溶解度低、吸收率差。</w:t>
            </w:r>
            <w:r>
              <w:rPr>
                <w:rFonts w:hint="eastAsia" w:ascii="宋体" w:hAnsi="宋体" w:eastAsia="宋体" w:cs="宋体"/>
                <w:lang w:val="en-US"/>
              </w:rPr>
              <w:t>此外，需要胃酸来中和，易于诱发结石和胃病。</w:t>
            </w:r>
            <w:r>
              <w:rPr>
                <w:rFonts w:hint="eastAsia" w:ascii="宋体" w:hAnsi="宋体" w:eastAsia="宋体" w:cs="宋体"/>
              </w:rPr>
              <w:t>有机钙以葡萄糖酸钙、乳酸钙、柠檬酸钙和醋酸钙为主要代表，</w:t>
            </w:r>
            <w:r>
              <w:rPr>
                <w:rFonts w:hint="eastAsia" w:ascii="宋体" w:hAnsi="宋体" w:eastAsia="宋体" w:cs="宋体"/>
                <w:lang w:val="en-US"/>
              </w:rPr>
              <w:t>以粉剂形式服用导致局部浓度过高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/>
              </w:rPr>
              <w:t>具</w:t>
            </w:r>
            <w:r>
              <w:rPr>
                <w:rFonts w:hint="eastAsia" w:ascii="宋体" w:hAnsi="宋体" w:eastAsia="宋体" w:cs="宋体"/>
              </w:rPr>
              <w:t>有</w:t>
            </w:r>
            <w:r>
              <w:rPr>
                <w:rFonts w:hint="eastAsia" w:ascii="宋体" w:hAnsi="宋体" w:eastAsia="宋体" w:cs="宋体"/>
                <w:lang w:val="en-US"/>
              </w:rPr>
              <w:t>一定</w:t>
            </w:r>
            <w:r>
              <w:rPr>
                <w:rFonts w:hint="eastAsia" w:ascii="宋体" w:hAnsi="宋体" w:eastAsia="宋体" w:cs="宋体"/>
              </w:rPr>
              <w:t>程度副作用。大力研发新型</w:t>
            </w:r>
            <w:r>
              <w:rPr>
                <w:rFonts w:hint="eastAsia" w:ascii="宋体" w:hAnsi="宋体" w:eastAsia="宋体" w:cs="宋体"/>
                <w:lang w:val="en-US"/>
              </w:rPr>
              <w:t>膳食</w:t>
            </w:r>
            <w:r>
              <w:rPr>
                <w:rFonts w:hint="eastAsia" w:ascii="宋体" w:hAnsi="宋体" w:eastAsia="宋体" w:cs="宋体"/>
              </w:rPr>
              <w:t>钙补充剂，</w:t>
            </w:r>
            <w:r>
              <w:rPr>
                <w:rFonts w:hint="eastAsia" w:ascii="宋体" w:hAnsi="宋体" w:eastAsia="宋体" w:cs="宋体"/>
                <w:lang w:val="en-US"/>
              </w:rPr>
              <w:t>通过</w:t>
            </w:r>
            <w:r>
              <w:rPr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  <w:lang w:val="en-US"/>
              </w:rPr>
              <w:t>食疗</w:t>
            </w:r>
            <w:r>
              <w:rPr>
                <w:lang w:val="en-US"/>
              </w:rPr>
              <w:t>”</w:t>
            </w:r>
            <w:r>
              <w:rPr>
                <w:rFonts w:hint="eastAsia" w:ascii="宋体" w:hAnsi="宋体" w:eastAsia="宋体" w:cs="宋体"/>
                <w:lang w:val="en-US"/>
              </w:rPr>
              <w:t>形式来补充钙摄入量不足问题，</w:t>
            </w:r>
            <w:r>
              <w:rPr>
                <w:rFonts w:hint="eastAsia" w:ascii="宋体" w:hAnsi="宋体" w:eastAsia="宋体" w:cs="宋体"/>
              </w:rPr>
              <w:t>已成为面向未来的一个引领方向。</w:t>
            </w:r>
          </w:p>
          <w:p w14:paraId="571EEBE4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我国食醋市场消费趋势与钙补充新产品开发必要性</w:t>
            </w:r>
          </w:p>
          <w:p w14:paraId="584C68C3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</w:pPr>
            <w:r>
              <w:rPr>
                <w:rFonts w:hint="eastAsia" w:ascii="宋体" w:hAnsi="宋体" w:eastAsia="宋体" w:cs="宋体"/>
              </w:rPr>
              <w:t xml:space="preserve">食醋行业的产量和需求量均呈现持续增长态势。数据显示，中国食醋行业产量已从 </w:t>
            </w:r>
            <w:r>
              <w:t>2013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年的 </w:t>
            </w:r>
            <w:r>
              <w:t>384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万吨增长至 </w:t>
            </w:r>
            <w:r>
              <w:t>2023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年的 </w:t>
            </w:r>
            <w:r>
              <w:t>477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万吨，年复合增长率显著。这一增长趋势反映出居民生活水平的提高和健康意识的增强，使得国内食醋市场需求不断扩大。当前食醋行业竞争激烈，品牌数量众多，但行业集中度相对较低。知名品牌如恒顺醋业、紫林醋业、水塔醋业等占据市场重要地位，同时，一些大型调味品企业如海天味业也涉足食醋生产和销售，进一步加剧了市场竞争。在这种环境下，企业需不断创新，提升产品品质和服务水平，以在激烈的市场竞争中脱颖而出。</w:t>
            </w:r>
          </w:p>
          <w:p w14:paraId="065BE001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随着消费者对健康饮食的关注度不断提升，传统调味醋</w:t>
            </w:r>
            <w:r>
              <w:rPr>
                <w:rFonts w:hint="eastAsia" w:ascii="宋体" w:hAnsi="宋体" w:eastAsia="宋体" w:cs="宋体"/>
                <w:lang w:val="en-US"/>
              </w:rPr>
              <w:t>消费量增长缓慢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/>
              </w:rPr>
              <w:t>食醋行业产品新增长点正向功能</w:t>
            </w:r>
            <w:r>
              <w:rPr>
                <w:rFonts w:hint="eastAsia" w:ascii="宋体" w:hAnsi="宋体" w:eastAsia="宋体" w:cs="宋体"/>
              </w:rPr>
              <w:t>醋、有机醋、饮料醋等</w:t>
            </w:r>
            <w:r>
              <w:rPr>
                <w:rFonts w:hint="eastAsia" w:ascii="宋体" w:hAnsi="宋体" w:eastAsia="宋体" w:cs="宋体"/>
                <w:lang w:val="en-US"/>
              </w:rPr>
              <w:t>方向发展</w:t>
            </w:r>
            <w:r>
              <w:rPr>
                <w:rFonts w:hint="eastAsia" w:ascii="宋体" w:hAnsi="宋体" w:eastAsia="宋体" w:cs="宋体"/>
              </w:rPr>
              <w:t>。这些产品满足不同消费者的口味需求，醋产品</w:t>
            </w:r>
            <w:r>
              <w:rPr>
                <w:rFonts w:hint="eastAsia" w:ascii="宋体" w:hAnsi="宋体" w:eastAsia="宋体" w:cs="宋体"/>
                <w:lang w:val="en-US"/>
              </w:rPr>
              <w:t>形式越来越</w:t>
            </w:r>
            <w:r>
              <w:rPr>
                <w:rFonts w:hint="eastAsia" w:ascii="宋体" w:hAnsi="宋体" w:eastAsia="宋体" w:cs="宋体"/>
              </w:rPr>
              <w:t>多样化、个性化。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其中，以天地壹号饮料股份有限公司表现最为亮眼，陈醋饮料、苹果醋饮料、低糖苹果醋饮料等产品异军突起，深受广大消费者喜爱，该公司已于 </w:t>
            </w:r>
            <w:r>
              <w:rPr>
                <w:lang w:val="en-US"/>
              </w:rPr>
              <w:t>2015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年 </w:t>
            </w:r>
            <w:r>
              <w:rPr>
                <w:lang w:val="en-US"/>
              </w:rPr>
              <w:t>8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月成功上市。</w:t>
            </w:r>
            <w:r>
              <w:rPr>
                <w:lang w:val="en-US"/>
              </w:rPr>
              <w:t>2024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年 </w:t>
            </w:r>
            <w:r>
              <w:rPr>
                <w:lang w:val="en-US"/>
              </w:rPr>
              <w:t>4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月 </w:t>
            </w:r>
            <w:r>
              <w:rPr>
                <w:lang w:val="en-US"/>
              </w:rPr>
              <w:t>30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日，天地壹号饮料股份有限公司发布 </w:t>
            </w:r>
            <w:r>
              <w:rPr>
                <w:lang w:val="en-US"/>
              </w:rPr>
              <w:t>2023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年财报，实现营业收入</w:t>
            </w:r>
            <w:r>
              <w:rPr>
                <w:lang w:val="en-US"/>
              </w:rPr>
              <w:t>12.05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亿元，较上年同期上涨 </w:t>
            </w:r>
            <w:r>
              <w:rPr>
                <w:lang w:val="en-US"/>
              </w:rPr>
              <w:t>19.00%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；归属于公司股东的净利润为 </w:t>
            </w:r>
            <w:r>
              <w:rPr>
                <w:lang w:val="en-US"/>
              </w:rPr>
              <w:t>3108.08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万元，较上年同期上涨 </w:t>
            </w:r>
            <w:r>
              <w:rPr>
                <w:lang w:val="en-US"/>
              </w:rPr>
              <w:t>119.41%</w:t>
            </w:r>
            <w:r>
              <w:rPr>
                <w:rFonts w:hint="eastAsia" w:ascii="宋体" w:hAnsi="宋体" w:eastAsia="宋体" w:cs="宋体"/>
                <w:lang w:val="en-US"/>
              </w:rPr>
              <w:t>。</w:t>
            </w:r>
          </w:p>
          <w:p w14:paraId="0DAD2DB4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>鉴于食醋主要化合物为乙酸，具有较强的钙螯合能力，以食醋饮料作为膳食日常补钙方式，未来有可能引领市场，形成新型热门产品和产业重要的新型增长点。企业在该领域提前布局，攻坚克难，形成技术壁垒和独有知识产权，无疑有利于在未来激烈的市场竞争中脱颖而出。</w:t>
            </w:r>
          </w:p>
          <w:p w14:paraId="47BF13BA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eastAsia="宋体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lang w:val="en-US"/>
              </w:rPr>
              <w:t>骨源生物钙醋新产品开发可行性与挑战性</w:t>
            </w:r>
          </w:p>
          <w:p w14:paraId="0864AF66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</w:pPr>
            <w:r>
              <w:rPr>
                <w:lang w:val="en-US"/>
              </w:rPr>
              <w:t>2023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年我国畜禽肉类总产量</w:t>
            </w:r>
            <w:r>
              <w:rPr>
                <w:lang w:val="en-US"/>
              </w:rPr>
              <w:t>9748.23</w:t>
            </w:r>
            <w:r>
              <w:rPr>
                <w:rFonts w:hint="eastAsia" w:ascii="宋体" w:hAnsi="宋体" w:eastAsia="宋体" w:cs="宋体"/>
                <w:lang w:val="en-US"/>
              </w:rPr>
              <w:t>万吨，</w:t>
            </w:r>
            <w:r>
              <w:rPr>
                <w:rFonts w:hint="eastAsia" w:ascii="宋体" w:hAnsi="宋体" w:eastAsia="宋体" w:cs="宋体"/>
              </w:rPr>
              <w:t>畜禽骨架</w:t>
            </w:r>
            <w:r>
              <w:rPr>
                <w:rFonts w:hint="eastAsia" w:ascii="宋体" w:hAnsi="宋体" w:eastAsia="宋体" w:cs="宋体"/>
                <w:lang w:val="en-US"/>
              </w:rPr>
              <w:t>以</w:t>
            </w:r>
            <w:r>
              <w:rPr>
                <w:lang w:val="en-US"/>
              </w:rPr>
              <w:t>12%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占比来算，年产量约 </w:t>
            </w:r>
            <w:r>
              <w:rPr>
                <w:lang w:val="en-US"/>
              </w:rPr>
              <w:t>1170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万吨，</w:t>
            </w:r>
            <w:r>
              <w:rPr>
                <w:rFonts w:hint="eastAsia" w:ascii="宋体" w:hAnsi="宋体" w:eastAsia="宋体" w:cs="宋体"/>
              </w:rPr>
              <w:t>来源广泛、价格低廉。</w:t>
            </w:r>
            <w:r>
              <w:rPr>
                <w:rFonts w:hint="eastAsia" w:ascii="宋体" w:hAnsi="宋体" w:eastAsia="宋体" w:cs="宋体"/>
                <w:lang w:val="en-US"/>
              </w:rPr>
              <w:t>骨架成份</w:t>
            </w:r>
            <w:r>
              <w:rPr>
                <w:rFonts w:hint="eastAsia" w:ascii="宋体" w:hAnsi="宋体" w:eastAsia="宋体" w:cs="宋体"/>
              </w:rPr>
              <w:t>主要为羟基磷灰石（</w:t>
            </w:r>
            <w:r>
              <w:rPr>
                <w:lang w:val="en-US"/>
              </w:rPr>
              <w:t>HAP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lang w:val="en-US"/>
              </w:rPr>
              <w:t>钙</w:t>
            </w:r>
            <w:r>
              <w:rPr>
                <w:rFonts w:hint="eastAsia" w:ascii="宋体" w:hAnsi="宋体" w:eastAsia="宋体" w:cs="宋体"/>
              </w:rPr>
              <w:t>晶体</w:t>
            </w:r>
            <w:r>
              <w:rPr>
                <w:rFonts w:hint="eastAsia" w:ascii="宋体" w:hAnsi="宋体" w:eastAsia="宋体" w:cs="宋体"/>
                <w:lang w:val="en-US"/>
              </w:rPr>
              <w:t>为主，其</w:t>
            </w:r>
            <w:r>
              <w:rPr>
                <w:rFonts w:hint="eastAsia" w:ascii="宋体" w:hAnsi="宋体" w:eastAsia="宋体" w:cs="宋体"/>
              </w:rPr>
              <w:t xml:space="preserve">附着在胶原纤维组织上，与人体骨骼中的化学结构、成份构成完全一致，生物兼容性非常好。将畜禽骨架 </w:t>
            </w:r>
            <w:r>
              <w:rPr>
                <w:lang w:val="en-US"/>
              </w:rPr>
              <w:t>HAP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转换成高吸收率、无副作用的生物有机钙，可以使这些优质钙质得到充分利用，还可防止资源的浪费和环境污染。</w:t>
            </w:r>
          </w:p>
          <w:p w14:paraId="19A993F4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/>
              </w:rPr>
              <w:t xml:space="preserve">目前限制 </w:t>
            </w:r>
            <w:r>
              <w:rPr>
                <w:lang w:val="en-US"/>
              </w:rPr>
              <w:t>HAP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 xml:space="preserve">在钙补充剂中应用的主要限定因素为高磷含量，不合适的钙磷比例。然而，在食醋发酵过程中，醋酸菌大量增值、分裂需要合成核酸物质，恰好需要使用磷元素，对于降低 </w:t>
            </w:r>
            <w:r>
              <w:rPr>
                <w:lang w:val="en-US"/>
              </w:rPr>
              <w:t>HAP</w:t>
            </w:r>
            <w:r>
              <w:rPr>
                <w:rFonts w:hint="eastAsia" w:eastAsiaTheme="minorEastAsia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/>
              </w:rPr>
              <w:t>磷含量、提高钙释放和吸收率，具有明显促进作用。醋酸 - 骨粉共发酵技术虽能制得含一定钙量的骨源生物钙醋新产品，但该产品钙富积量、钙形态占比（醋酸钙、其他有机酸钙、螯合肽钙）不明，其钙混合物在不同醋形态产品中的溶解度、对产品澄清度影响及稳态化方法是当前亟待解决的核心技术问题，该领域探索尚少，尚无成熟技术。</w:t>
            </w:r>
          </w:p>
        </w:tc>
      </w:tr>
      <w:tr w14:paraId="55237A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00E34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lang w:val="en-US" w:eastAsia="zh-Han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 w:eastAsia="zh-Hans"/>
              </w:rPr>
              <w:t>选题内容</w:t>
            </w: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及任务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DC538"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32"/>
              </w:rPr>
              <w:t>选题内容</w:t>
            </w:r>
          </w:p>
          <w:p w14:paraId="4893D780">
            <w:pPr>
              <w:pStyle w:val="9"/>
              <w:numPr>
                <w:ilvl w:val="1"/>
                <w:numId w:val="2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研究重难点</w:t>
            </w:r>
          </w:p>
          <w:p w14:paraId="536D680E">
            <w:pPr>
              <w:pStyle w:val="9"/>
              <w:spacing w:line="360" w:lineRule="auto"/>
              <w:ind w:firstLine="480"/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在项目组前期的研究中，已经确定通过醋酸-骨粉共发酵技术可以制得含有一定钙量的骨源生物钙醋饮料。然而，目前尚未明确该产品中钙的具体含量，以及不同形态钙（包括醋酸钙、其他有机酸钙、螯合肽钙）的比例。此外，这些钙混合物在不同醋形态产品中的溶解度、对产品澄清透明性的影响，以及如何实现产品的稳定化，都是亟待解决的核心技术问题。这些领域目前的研究相对较少，尚未形成成熟的技术体系。</w:t>
            </w:r>
          </w:p>
          <w:p w14:paraId="20C0C607">
            <w:pPr>
              <w:pStyle w:val="9"/>
              <w:numPr>
                <w:ilvl w:val="1"/>
                <w:numId w:val="2"/>
              </w:numPr>
              <w:ind w:firstLineChars="0"/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238760</wp:posOffset>
                  </wp:positionV>
                  <wp:extent cx="3969385" cy="2216150"/>
                  <wp:effectExtent l="0" t="0" r="0" b="0"/>
                  <wp:wrapTopAndBottom/>
                  <wp:docPr id="1" name="图片 1" descr="ce9b410ddbe6f4aaf06a7da42f18a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e9b410ddbe6f4aaf06a7da42f18ad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98" r="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9385" cy="221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总技术路线图</w:t>
            </w:r>
          </w:p>
          <w:p w14:paraId="1E79BF08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图1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牦牛</w:t>
            </w:r>
            <w:r>
              <w:rPr>
                <w:rFonts w:ascii="Times New Roman" w:hAnsi="Times New Roman" w:eastAsia="宋体" w:cs="Times New Roman"/>
                <w:szCs w:val="21"/>
              </w:rPr>
              <w:t>壮骨钙醋饮料技术路线图</w:t>
            </w:r>
          </w:p>
          <w:p w14:paraId="3FA24A22">
            <w:pPr>
              <w:pStyle w:val="9"/>
              <w:keepNext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32"/>
              </w:rPr>
              <w:t>选题任务</w:t>
            </w:r>
          </w:p>
          <w:p w14:paraId="5002C4FB">
            <w:pPr>
              <w:pStyle w:val="9"/>
              <w:keepNext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研究进度计划</w:t>
            </w:r>
          </w:p>
          <w:p w14:paraId="154BA7BB">
            <w:pPr>
              <w:pStyle w:val="9"/>
              <w:keepNext/>
              <w:spacing w:line="360" w:lineRule="auto"/>
              <w:ind w:firstLine="482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前期准备阶段（2024年12月中下旬）：</w:t>
            </w:r>
          </w:p>
          <w:p w14:paraId="126E5C8C">
            <w:pPr>
              <w:pStyle w:val="9"/>
              <w:spacing w:line="360" w:lineRule="auto"/>
              <w:ind w:firstLine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带领团队学生走访合作的食醋企业并实习，了解食醋工业化生产工艺流程，明确市场发展趋势；查阅相关文献资料，与学生探讨该项目的可行性和创新点，理清实验思路和内容，为后续研究打下坚实基础。</w:t>
            </w:r>
          </w:p>
          <w:p w14:paraId="2EE10F66">
            <w:pPr>
              <w:pStyle w:val="9"/>
              <w:ind w:firstLine="482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实验开展阶段（2024年1月至2月）：</w:t>
            </w:r>
          </w:p>
          <w:p w14:paraId="0B1879CD">
            <w:pPr>
              <w:pStyle w:val="9"/>
              <w:spacing w:line="360" w:lineRule="auto"/>
              <w:ind w:firstLine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根据实际的实验情况指导学生，为学生答疑解惑，阶段性的分析和总结，推进实验进度，确保实验能按期完成。</w:t>
            </w:r>
          </w:p>
          <w:p w14:paraId="4505545C">
            <w:pPr>
              <w:pStyle w:val="9"/>
              <w:ind w:firstLine="482"/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8"/>
              </w:rPr>
              <w:t>后期完善阶段（2024年3月）：</w:t>
            </w:r>
          </w:p>
          <w:p w14:paraId="788231AC">
            <w:pPr>
              <w:pStyle w:val="9"/>
              <w:spacing w:line="360" w:lineRule="auto"/>
              <w:ind w:firstLine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将所研发的新产品“牦牛壮骨钙醋饮料”与企业对接，进行产品应用示范和市场化推广；根据产品调查报告，进行品质/功能改良，逐步达到预期水平；带领学生完成结题要求的全部内容。</w:t>
            </w:r>
          </w:p>
          <w:p w14:paraId="35B89509">
            <w:pPr>
              <w:pStyle w:val="9"/>
              <w:numPr>
                <w:ilvl w:val="1"/>
                <w:numId w:val="1"/>
              </w:numPr>
              <w:ind w:firstLineChars="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拟解决主要研究问题</w:t>
            </w:r>
          </w:p>
          <w:p w14:paraId="2A0FC3F7">
            <w:pPr>
              <w:pStyle w:val="9"/>
              <w:numPr>
                <w:ilvl w:val="0"/>
                <w:numId w:val="3"/>
              </w:numPr>
              <w:spacing w:line="360" w:lineRule="auto"/>
              <w:ind w:firstLine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以大米粉、牦牛骨粉为主要原料，采用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醋酸-骨粉共发酵技术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发酵生产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牦牛壮骨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钙醋饮料，并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探索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该产品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产业化最优生产工艺条件和流程；</w:t>
            </w:r>
          </w:p>
          <w:p w14:paraId="39DDAB94">
            <w:pPr>
              <w:pStyle w:val="9"/>
              <w:numPr>
                <w:ilvl w:val="0"/>
                <w:numId w:val="3"/>
              </w:numPr>
              <w:spacing w:line="360" w:lineRule="auto"/>
              <w:ind w:firstLine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测定牦牛壮骨钙醋饮料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中骨胶原多肽螯合钙、醋钙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及其他有机酸钙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的有关指标，探究产品中钙富积量、钙形态占比等问题，评价产品的功能特性是否满足需要；</w:t>
            </w:r>
          </w:p>
          <w:p w14:paraId="080C263C">
            <w:pPr>
              <w:pStyle w:val="9"/>
              <w:numPr>
                <w:ilvl w:val="0"/>
                <w:numId w:val="3"/>
              </w:numPr>
              <w:spacing w:line="360" w:lineRule="auto"/>
              <w:ind w:firstLine="480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分析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牦牛壮骨钙醋饮料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中的风味物质，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测定产品的浊度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并对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其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进行感官评价，探究钙混合物对产品澄清度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及其自身稳定性</w:t>
            </w: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的影响等问题，评价产品的品质特性是否满足要求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。</w:t>
            </w:r>
          </w:p>
        </w:tc>
      </w:tr>
      <w:tr w14:paraId="0952B2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2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243A1F">
            <w:pPr>
              <w:adjustRightInd w:val="0"/>
              <w:snapToGrid w:val="0"/>
              <w:spacing w:line="560" w:lineRule="exact"/>
              <w:jc w:val="center"/>
              <w:rPr>
                <w:rFonts w:ascii="方正楷体简体" w:eastAsia="方正楷体简体"/>
                <w:sz w:val="28"/>
                <w:szCs w:val="28"/>
                <w:lang w:val="en-US"/>
              </w:rPr>
            </w:pPr>
            <w:r>
              <w:rPr>
                <w:rFonts w:hint="eastAsia" w:ascii="方正楷体简体" w:eastAsia="方正楷体简体"/>
                <w:sz w:val="28"/>
                <w:szCs w:val="28"/>
                <w:lang w:val="en-US"/>
              </w:rPr>
              <w:t>具体要求</w:t>
            </w:r>
          </w:p>
        </w:tc>
        <w:tc>
          <w:tcPr>
            <w:tcW w:w="63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6839E">
            <w:pPr>
              <w:spacing w:line="360" w:lineRule="auto"/>
              <w:ind w:firstLine="482" w:firstLineChars="200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b/>
                <w:bCs/>
                <w:szCs w:val="28"/>
              </w:rPr>
              <w:t>拟招募人数：</w:t>
            </w:r>
            <w:r>
              <w:rPr>
                <w:rFonts w:hint="eastAsia" w:eastAsia="宋体"/>
                <w:szCs w:val="28"/>
              </w:rPr>
              <w:t>5人</w:t>
            </w:r>
          </w:p>
          <w:p w14:paraId="1D83FB66">
            <w:pPr>
              <w:spacing w:line="360" w:lineRule="auto"/>
              <w:ind w:firstLine="482" w:firstLineChars="200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b/>
                <w:bCs/>
                <w:szCs w:val="28"/>
              </w:rPr>
              <w:t>专业要求：</w:t>
            </w:r>
            <w:r>
              <w:rPr>
                <w:rFonts w:hint="eastAsia" w:eastAsia="宋体"/>
                <w:szCs w:val="28"/>
              </w:rPr>
              <w:t>食品相关专业低年级本研学生</w:t>
            </w:r>
          </w:p>
          <w:p w14:paraId="6B5037F8">
            <w:pPr>
              <w:spacing w:line="360" w:lineRule="auto"/>
              <w:ind w:firstLine="482" w:firstLineChars="200"/>
              <w:rPr>
                <w:rFonts w:eastAsia="宋体"/>
                <w:b/>
                <w:bCs/>
                <w:szCs w:val="28"/>
              </w:rPr>
            </w:pPr>
            <w:r>
              <w:rPr>
                <w:rFonts w:hint="eastAsia" w:eastAsia="宋体"/>
                <w:b/>
                <w:bCs/>
                <w:szCs w:val="28"/>
              </w:rPr>
              <w:t>要求：</w:t>
            </w:r>
          </w:p>
          <w:p w14:paraId="7F80139C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深入了解本项目的相关研究，掌握其理论和方法。</w:t>
            </w:r>
          </w:p>
          <w:p w14:paraId="6F7D44E0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具备独立思考和解决问题的能力。</w:t>
            </w:r>
          </w:p>
          <w:p w14:paraId="33C8334C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具备科学实验或调查的设计和操作能力。</w:t>
            </w:r>
          </w:p>
          <w:p w14:paraId="2264B012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进行数据收集和整理，准确分析和解释数据。</w:t>
            </w:r>
          </w:p>
          <w:p w14:paraId="0BC364A1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具备较好的写作能力，能够规范地撰写项目报告。</w:t>
            </w:r>
          </w:p>
          <w:p w14:paraId="61F82FE8">
            <w:pPr>
              <w:widowControl w:val="0"/>
              <w:numPr>
                <w:ilvl w:val="0"/>
                <w:numId w:val="4"/>
              </w:numPr>
              <w:spacing w:line="360" w:lineRule="auto"/>
              <w:jc w:val="both"/>
              <w:rPr>
                <w:rFonts w:eastAsia="宋体"/>
                <w:szCs w:val="28"/>
              </w:rPr>
            </w:pPr>
            <w:r>
              <w:rPr>
                <w:rFonts w:hint="eastAsia" w:eastAsia="宋体"/>
                <w:szCs w:val="28"/>
              </w:rPr>
              <w:t>具备积极探索和创新精神。</w:t>
            </w:r>
          </w:p>
        </w:tc>
      </w:tr>
    </w:tbl>
    <w:p w14:paraId="24D72A65">
      <w:pPr>
        <w:widowControl w:val="0"/>
        <w:spacing w:line="0" w:lineRule="atLeast"/>
        <w:ind w:firstLine="480" w:firstLineChars="200"/>
        <w:jc w:val="both"/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651566"/>
    </w:sdtPr>
    <w:sdtContent>
      <w:p w14:paraId="242188B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5876B97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58755"/>
    <w:multiLevelType w:val="singleLevel"/>
    <w:tmpl w:val="09458755"/>
    <w:lvl w:ilvl="0" w:tentative="0">
      <w:start w:val="1"/>
      <w:numFmt w:val="decimal"/>
      <w:lvlText w:val="%1、"/>
      <w:lvlJc w:val="left"/>
      <w:pPr>
        <w:tabs>
          <w:tab w:val="left" w:pos="562"/>
        </w:tabs>
        <w:ind w:left="567" w:hanging="425"/>
      </w:pPr>
      <w:rPr>
        <w:rFonts w:hint="default"/>
      </w:rPr>
    </w:lvl>
  </w:abstractNum>
  <w:abstractNum w:abstractNumId="1">
    <w:nsid w:val="0BF30F1F"/>
    <w:multiLevelType w:val="multilevel"/>
    <w:tmpl w:val="0BF30F1F"/>
    <w:lvl w:ilvl="0" w:tentative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eastAsiaTheme="minorEastAsia" w:cstheme="minorBidi"/>
      </w:rPr>
    </w:lvl>
    <w:lvl w:ilvl="1" w:tentative="0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01848C8"/>
    <w:multiLevelType w:val="multilevel"/>
    <w:tmpl w:val="601848C8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 w:ascii="Times New Roman" w:hAnsi="Times New Roman" w:eastAsia="等线" w:cs="Times New Roman"/>
        <w:sz w:val="28"/>
        <w:szCs w:val="28"/>
      </w:rPr>
    </w:lvl>
    <w:lvl w:ilvl="1" w:tentative="0">
      <w:start w:val="1"/>
      <w:numFmt w:val="decimal"/>
      <w:isLgl/>
      <w:lvlText w:val="%1.%2"/>
      <w:lvlJc w:val="left"/>
      <w:pPr>
        <w:ind w:left="370" w:hanging="37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1B5C01C"/>
    <w:multiLevelType w:val="singleLevel"/>
    <w:tmpl w:val="61B5C0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zFlNDBiZmQzYjliOWI0OTU1ZmRhNTE3ODY5NTAifQ=="/>
  </w:docVars>
  <w:rsids>
    <w:rsidRoot w:val="00FC5B72"/>
    <w:rsid w:val="000009D4"/>
    <w:rsid w:val="00040D2C"/>
    <w:rsid w:val="000533D7"/>
    <w:rsid w:val="000A2D60"/>
    <w:rsid w:val="000B6980"/>
    <w:rsid w:val="000C7C6D"/>
    <w:rsid w:val="0016597D"/>
    <w:rsid w:val="00274D2E"/>
    <w:rsid w:val="002948A1"/>
    <w:rsid w:val="002A638C"/>
    <w:rsid w:val="002B0BEA"/>
    <w:rsid w:val="002E409D"/>
    <w:rsid w:val="003131B8"/>
    <w:rsid w:val="004F1BD1"/>
    <w:rsid w:val="00522ABA"/>
    <w:rsid w:val="005B43D7"/>
    <w:rsid w:val="005B4CBB"/>
    <w:rsid w:val="005C1386"/>
    <w:rsid w:val="005E1F34"/>
    <w:rsid w:val="00646D89"/>
    <w:rsid w:val="00652923"/>
    <w:rsid w:val="00667113"/>
    <w:rsid w:val="00693AD7"/>
    <w:rsid w:val="007729BC"/>
    <w:rsid w:val="00775C11"/>
    <w:rsid w:val="007C7B1F"/>
    <w:rsid w:val="007D1F48"/>
    <w:rsid w:val="00954BC2"/>
    <w:rsid w:val="009768DC"/>
    <w:rsid w:val="00987AA6"/>
    <w:rsid w:val="009931DB"/>
    <w:rsid w:val="009A7658"/>
    <w:rsid w:val="009D0EC4"/>
    <w:rsid w:val="00A00C23"/>
    <w:rsid w:val="00A94AC0"/>
    <w:rsid w:val="00AB3F3C"/>
    <w:rsid w:val="00B66160"/>
    <w:rsid w:val="00C75DE5"/>
    <w:rsid w:val="00D77EC8"/>
    <w:rsid w:val="00E507F4"/>
    <w:rsid w:val="00E6724E"/>
    <w:rsid w:val="00E9298E"/>
    <w:rsid w:val="00FC5B72"/>
    <w:rsid w:val="04362C6C"/>
    <w:rsid w:val="065E0D3B"/>
    <w:rsid w:val="08F351C2"/>
    <w:rsid w:val="09F77876"/>
    <w:rsid w:val="0C717078"/>
    <w:rsid w:val="135B2C24"/>
    <w:rsid w:val="137746FA"/>
    <w:rsid w:val="20D970F2"/>
    <w:rsid w:val="24CA5E5B"/>
    <w:rsid w:val="26D35765"/>
    <w:rsid w:val="2D091694"/>
    <w:rsid w:val="2FCC5CA8"/>
    <w:rsid w:val="33FB1B8D"/>
    <w:rsid w:val="346735F2"/>
    <w:rsid w:val="358037B3"/>
    <w:rsid w:val="37266088"/>
    <w:rsid w:val="418A7ABA"/>
    <w:rsid w:val="43AB649F"/>
    <w:rsid w:val="469C02F9"/>
    <w:rsid w:val="4CBE77A4"/>
    <w:rsid w:val="4E6008A6"/>
    <w:rsid w:val="5B9F37BC"/>
    <w:rsid w:val="604E1113"/>
    <w:rsid w:val="618B3CA1"/>
    <w:rsid w:val="65ED236D"/>
    <w:rsid w:val="6BAE6D1B"/>
    <w:rsid w:val="70666977"/>
    <w:rsid w:val="748E78D8"/>
    <w:rsid w:val="7803170F"/>
    <w:rsid w:val="ABFF371A"/>
    <w:rsid w:val="F7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eastAsia="Times New Roman"/>
      <w:sz w:val="18"/>
      <w:szCs w:val="18"/>
      <w:lang w:val="en-GB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3431</Words>
  <Characters>3770</Characters>
  <Lines>27</Lines>
  <Paragraphs>7</Paragraphs>
  <TotalTime>34</TotalTime>
  <ScaleCrop>false</ScaleCrop>
  <LinksUpToDate>false</LinksUpToDate>
  <CharactersWithSpaces>3838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2024-12-07T13:31:00Z</dcterms:created>
  <dc:creator>86191</dc:creator>
  <cp:lastModifiedBy>WPS_1542369157</cp:lastModifiedBy>
  <dcterms:modified xsi:type="dcterms:W3CDTF">2024-12-23T03:10:42Z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8BF4FBC8E66D4565B3AABC6346C216A2_13</vt:lpwstr>
  </property>
</Properties>
</file>