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328715">
      <w:pPr>
        <w:widowControl/>
        <w:shd w:val="clear" w:color="auto"/>
        <w:snapToGrid w:val="0"/>
        <w:spacing w:before="156" w:beforeLines="50"/>
        <w:rPr>
          <w:rFonts w:ascii="Times New Roman" w:hAnsi="Times New Roman" w:eastAsia="黑体"/>
          <w:b/>
          <w:snapToGrid w:val="0"/>
          <w:kern w:val="0"/>
          <w:sz w:val="30"/>
          <w:szCs w:val="30"/>
          <w:highlight w:val="none"/>
        </w:rPr>
      </w:pPr>
      <w:r>
        <w:rPr>
          <w:rFonts w:ascii="Times New Roman" w:hAnsi="Times New Roman" w:eastAsia="黑体"/>
          <w:b/>
          <w:snapToGrid w:val="0"/>
          <w:kern w:val="0"/>
          <w:sz w:val="30"/>
          <w:szCs w:val="30"/>
          <w:highlight w:val="none"/>
        </w:rPr>
        <w:t>附件1</w:t>
      </w:r>
    </w:p>
    <w:p w14:paraId="6D558833">
      <w:pPr>
        <w:shd w:val="clear" w:color="auto"/>
        <w:spacing w:before="156" w:beforeLines="50" w:after="156" w:afterLines="50" w:line="360" w:lineRule="auto"/>
        <w:jc w:val="center"/>
        <w:rPr>
          <w:rFonts w:ascii="Times New Roman" w:hAnsi="Times New Roman" w:eastAsia="黑体"/>
          <w:b/>
          <w:sz w:val="30"/>
          <w:szCs w:val="30"/>
          <w:highlight w:val="none"/>
        </w:rPr>
      </w:pPr>
      <w:r>
        <w:rPr>
          <w:rFonts w:hint="eastAsia" w:ascii="Times New Roman" w:hAnsi="Times New Roman" w:eastAsia="黑体"/>
          <w:b/>
          <w:sz w:val="30"/>
          <w:szCs w:val="30"/>
          <w:highlight w:val="none"/>
        </w:rPr>
        <w:t>CIFST-第七届安琪酵母杯大学生创新食品</w:t>
      </w:r>
      <w:r>
        <w:rPr>
          <w:rFonts w:ascii="Times New Roman" w:hAnsi="Times New Roman" w:eastAsia="黑体"/>
          <w:b/>
          <w:sz w:val="30"/>
          <w:szCs w:val="30"/>
          <w:highlight w:val="none"/>
        </w:rPr>
        <w:t>竞赛</w:t>
      </w:r>
    </w:p>
    <w:p w14:paraId="05FBB7A7">
      <w:pPr>
        <w:shd w:val="clear" w:color="auto"/>
        <w:spacing w:before="156" w:beforeLines="50" w:after="156" w:afterLines="50" w:line="360" w:lineRule="auto"/>
        <w:jc w:val="center"/>
        <w:rPr>
          <w:rFonts w:hint="eastAsia" w:ascii="Times New Roman" w:hAnsi="Times New Roman" w:eastAsia="黑体"/>
          <w:b/>
          <w:sz w:val="30"/>
          <w:szCs w:val="30"/>
          <w:highlight w:val="none"/>
        </w:rPr>
      </w:pPr>
      <w:r>
        <w:rPr>
          <w:rFonts w:hint="eastAsia" w:ascii="Times New Roman" w:hAnsi="Times New Roman" w:eastAsia="黑体"/>
          <w:b/>
          <w:sz w:val="30"/>
          <w:szCs w:val="30"/>
          <w:highlight w:val="none"/>
        </w:rPr>
        <w:t>竞赛可选原料配料范围</w:t>
      </w:r>
    </w:p>
    <w:p w14:paraId="10CF3DFC">
      <w:pPr>
        <w:shd w:val="clear" w:color="auto"/>
        <w:spacing w:before="156" w:beforeLines="50" w:after="156" w:afterLines="50" w:line="360" w:lineRule="auto"/>
        <w:jc w:val="center"/>
        <w:rPr>
          <w:rFonts w:ascii="Times New Roman" w:hAnsi="Times New Roman" w:eastAsia="黑体"/>
          <w:bCs/>
          <w:sz w:val="24"/>
          <w:highlight w:val="none"/>
        </w:rPr>
      </w:pPr>
      <w:r>
        <w:rPr>
          <w:rFonts w:hint="eastAsia" w:ascii="Times New Roman" w:hAnsi="Times New Roman" w:eastAsia="黑体"/>
          <w:bCs/>
          <w:sz w:val="24"/>
          <w:highlight w:val="none"/>
        </w:rPr>
        <w:t>（下表所列产品，入围复赛后由安琪免费提供）</w:t>
      </w:r>
    </w:p>
    <w:tbl>
      <w:tblPr>
        <w:tblStyle w:val="2"/>
        <w:tblW w:w="8836" w:type="dxa"/>
        <w:jc w:val="center"/>
        <w:tblLayout w:type="autofit"/>
        <w:tblCellMar>
          <w:top w:w="0" w:type="dxa"/>
          <w:left w:w="0" w:type="dxa"/>
          <w:bottom w:w="0" w:type="dxa"/>
          <w:right w:w="0" w:type="dxa"/>
        </w:tblCellMar>
      </w:tblPr>
      <w:tblGrid>
        <w:gridCol w:w="1701"/>
        <w:gridCol w:w="1485"/>
        <w:gridCol w:w="5650"/>
      </w:tblGrid>
      <w:tr w14:paraId="7745FB2F">
        <w:tblPrEx>
          <w:tblCellMar>
            <w:top w:w="0" w:type="dxa"/>
            <w:left w:w="0" w:type="dxa"/>
            <w:bottom w:w="0" w:type="dxa"/>
            <w:right w:w="0" w:type="dxa"/>
          </w:tblCellMar>
        </w:tblPrEx>
        <w:trPr>
          <w:trHeight w:val="875" w:hRule="atLeast"/>
          <w:jc w:val="center"/>
        </w:trPr>
        <w:tc>
          <w:tcPr>
            <w:tcW w:w="1701" w:type="dxa"/>
            <w:vMerge w:val="restart"/>
            <w:tcBorders>
              <w:top w:val="single" w:color="000000" w:sz="8" w:space="0"/>
              <w:left w:val="single" w:color="000000" w:sz="8" w:space="0"/>
              <w:right w:val="single" w:color="000000" w:sz="8" w:space="0"/>
            </w:tcBorders>
            <w:noWrap w:val="0"/>
            <w:tcMar>
              <w:top w:w="15" w:type="dxa"/>
              <w:left w:w="97" w:type="dxa"/>
              <w:bottom w:w="0" w:type="dxa"/>
              <w:right w:w="97" w:type="dxa"/>
            </w:tcMar>
            <w:vAlign w:val="center"/>
          </w:tcPr>
          <w:p w14:paraId="4823963D">
            <w:pPr>
              <w:shd w:val="clear" w:color="auto"/>
              <w:snapToGrid w:val="0"/>
              <w:spacing w:line="360" w:lineRule="auto"/>
              <w:jc w:val="center"/>
              <w:rPr>
                <w:rFonts w:ascii="Times New Roman" w:hAnsi="Times New Roman" w:eastAsia="仿宋_GB2312"/>
                <w:b/>
                <w:bCs/>
                <w:sz w:val="24"/>
                <w:highlight w:val="none"/>
              </w:rPr>
            </w:pPr>
            <w:r>
              <w:rPr>
                <w:rFonts w:hint="eastAsia" w:ascii="Times New Roman" w:hAnsi="Times New Roman" w:eastAsia="仿宋_GB2312"/>
                <w:b/>
                <w:bCs/>
                <w:sz w:val="24"/>
                <w:highlight w:val="none"/>
              </w:rPr>
              <w:t>发酵剂类</w:t>
            </w:r>
          </w:p>
        </w:tc>
        <w:tc>
          <w:tcPr>
            <w:tcW w:w="1485" w:type="dxa"/>
            <w:tcBorders>
              <w:top w:val="single" w:color="000000" w:sz="8" w:space="0"/>
              <w:left w:val="single" w:color="000000" w:sz="8" w:space="0"/>
              <w:bottom w:val="single" w:color="000000" w:sz="8" w:space="0"/>
              <w:right w:val="single" w:color="000000" w:sz="8" w:space="0"/>
            </w:tcBorders>
            <w:noWrap w:val="0"/>
            <w:tcMar>
              <w:top w:w="15" w:type="dxa"/>
              <w:left w:w="97" w:type="dxa"/>
              <w:bottom w:w="0" w:type="dxa"/>
              <w:right w:w="97" w:type="dxa"/>
            </w:tcMar>
            <w:vAlign w:val="center"/>
          </w:tcPr>
          <w:p w14:paraId="5C4D9963">
            <w:pPr>
              <w:shd w:val="clear" w:color="auto"/>
              <w:snapToGrid w:val="0"/>
              <w:spacing w:line="360" w:lineRule="auto"/>
              <w:jc w:val="center"/>
              <w:rPr>
                <w:rFonts w:ascii="Times New Roman" w:hAnsi="Times New Roman" w:eastAsia="仿宋_GB2312"/>
                <w:sz w:val="24"/>
                <w:highlight w:val="none"/>
              </w:rPr>
            </w:pPr>
            <w:r>
              <w:rPr>
                <w:rFonts w:hint="eastAsia" w:ascii="Times New Roman" w:hAnsi="Times New Roman" w:eastAsia="仿宋_GB2312"/>
                <w:sz w:val="24"/>
                <w:highlight w:val="none"/>
              </w:rPr>
              <w:t>烘焙类</w:t>
            </w:r>
          </w:p>
        </w:tc>
        <w:tc>
          <w:tcPr>
            <w:tcW w:w="5650" w:type="dxa"/>
            <w:tcBorders>
              <w:top w:val="single" w:color="000000" w:sz="8" w:space="0"/>
              <w:left w:val="single" w:color="000000" w:sz="8" w:space="0"/>
              <w:bottom w:val="single" w:color="000000" w:sz="8" w:space="0"/>
              <w:right w:val="single" w:color="000000" w:sz="8" w:space="0"/>
            </w:tcBorders>
            <w:noWrap w:val="0"/>
            <w:tcMar>
              <w:top w:w="15" w:type="dxa"/>
              <w:left w:w="97" w:type="dxa"/>
              <w:bottom w:w="0" w:type="dxa"/>
              <w:right w:w="97" w:type="dxa"/>
            </w:tcMar>
            <w:vAlign w:val="center"/>
          </w:tcPr>
          <w:p w14:paraId="7713060C">
            <w:pPr>
              <w:shd w:val="clear" w:color="auto"/>
              <w:snapToGrid w:val="0"/>
              <w:spacing w:line="360" w:lineRule="auto"/>
              <w:rPr>
                <w:rFonts w:ascii="Times New Roman" w:hAnsi="Times New Roman" w:eastAsia="仿宋_GB2312"/>
                <w:sz w:val="24"/>
                <w:highlight w:val="none"/>
              </w:rPr>
            </w:pPr>
            <w:r>
              <w:rPr>
                <w:rFonts w:hint="eastAsia" w:ascii="Times New Roman" w:hAnsi="Times New Roman" w:eastAsia="仿宋_GB2312"/>
                <w:sz w:val="24"/>
                <w:highlight w:val="none"/>
              </w:rPr>
              <w:t>高糖干酵母、低糖干酵母</w:t>
            </w:r>
          </w:p>
          <w:p w14:paraId="1EA78F4B">
            <w:pPr>
              <w:shd w:val="clear" w:color="auto"/>
              <w:snapToGrid w:val="0"/>
              <w:spacing w:line="360" w:lineRule="auto"/>
              <w:rPr>
                <w:rFonts w:ascii="Times New Roman" w:hAnsi="Times New Roman" w:eastAsia="仿宋_GB2312"/>
                <w:sz w:val="24"/>
                <w:highlight w:val="none"/>
              </w:rPr>
            </w:pPr>
            <w:r>
              <w:rPr>
                <w:rFonts w:ascii="Times New Roman" w:hAnsi="Times New Roman" w:eastAsia="仿宋_GB2312"/>
                <w:b/>
                <w:bCs/>
                <w:sz w:val="24"/>
                <w:highlight w:val="none"/>
                <w:u w:val="single"/>
              </w:rPr>
              <w:fldChar w:fldCharType="begin"/>
            </w:r>
            <w:r>
              <w:rPr>
                <w:rFonts w:ascii="Times New Roman" w:hAnsi="Times New Roman" w:eastAsia="仿宋_GB2312"/>
                <w:b/>
                <w:bCs/>
                <w:sz w:val="24"/>
                <w:highlight w:val="none"/>
                <w:u w:val="single"/>
              </w:rPr>
              <w:instrText xml:space="preserve"> HYPERLINK "https://dimsum.angelyeast.com/channels/4253.html" </w:instrText>
            </w:r>
            <w:r>
              <w:rPr>
                <w:rFonts w:ascii="Times New Roman" w:hAnsi="Times New Roman" w:eastAsia="仿宋_GB2312"/>
                <w:b/>
                <w:bCs/>
                <w:sz w:val="24"/>
                <w:highlight w:val="none"/>
                <w:u w:val="single"/>
              </w:rPr>
              <w:fldChar w:fldCharType="separate"/>
            </w:r>
            <w:r>
              <w:rPr>
                <w:rStyle w:val="4"/>
                <w:rFonts w:ascii="Times New Roman" w:hAnsi="Times New Roman" w:eastAsia="仿宋_GB2312"/>
                <w:b/>
                <w:bCs/>
                <w:sz w:val="24"/>
                <w:highlight w:val="none"/>
              </w:rPr>
              <w:t>https://dimsum.angelyeast.com</w:t>
            </w:r>
            <w:r>
              <w:rPr>
                <w:rFonts w:ascii="Times New Roman" w:hAnsi="Times New Roman" w:eastAsia="仿宋_GB2312"/>
                <w:sz w:val="24"/>
                <w:highlight w:val="none"/>
                <w:u w:val="single"/>
              </w:rPr>
              <w:fldChar w:fldCharType="end"/>
            </w:r>
          </w:p>
        </w:tc>
      </w:tr>
      <w:tr w14:paraId="4863D409">
        <w:tblPrEx>
          <w:tblCellMar>
            <w:top w:w="0" w:type="dxa"/>
            <w:left w:w="0" w:type="dxa"/>
            <w:bottom w:w="0" w:type="dxa"/>
            <w:right w:w="0" w:type="dxa"/>
          </w:tblCellMar>
        </w:tblPrEx>
        <w:trPr>
          <w:trHeight w:val="803" w:hRule="atLeast"/>
          <w:jc w:val="center"/>
        </w:trPr>
        <w:tc>
          <w:tcPr>
            <w:tcW w:w="1701" w:type="dxa"/>
            <w:vMerge w:val="continue"/>
            <w:tcBorders>
              <w:left w:val="single" w:color="000000" w:sz="8" w:space="0"/>
              <w:right w:val="single" w:color="000000" w:sz="8" w:space="0"/>
            </w:tcBorders>
            <w:noWrap w:val="0"/>
            <w:vAlign w:val="center"/>
          </w:tcPr>
          <w:p w14:paraId="7826CB7F">
            <w:pPr>
              <w:shd w:val="clear" w:color="auto"/>
              <w:snapToGrid w:val="0"/>
              <w:spacing w:line="360" w:lineRule="auto"/>
              <w:rPr>
                <w:rFonts w:ascii="Times New Roman" w:hAnsi="Times New Roman" w:eastAsia="仿宋_GB2312"/>
                <w:b/>
                <w:bCs/>
                <w:sz w:val="24"/>
                <w:highlight w:val="none"/>
              </w:rPr>
            </w:pPr>
          </w:p>
        </w:tc>
        <w:tc>
          <w:tcPr>
            <w:tcW w:w="1485" w:type="dxa"/>
            <w:tcBorders>
              <w:top w:val="single" w:color="000000" w:sz="8" w:space="0"/>
              <w:left w:val="single" w:color="000000" w:sz="8" w:space="0"/>
              <w:bottom w:val="single" w:color="000000" w:sz="8" w:space="0"/>
              <w:right w:val="single" w:color="000000" w:sz="8" w:space="0"/>
            </w:tcBorders>
            <w:noWrap w:val="0"/>
            <w:tcMar>
              <w:top w:w="15" w:type="dxa"/>
              <w:left w:w="97" w:type="dxa"/>
              <w:bottom w:w="0" w:type="dxa"/>
              <w:right w:w="97" w:type="dxa"/>
            </w:tcMar>
            <w:vAlign w:val="center"/>
          </w:tcPr>
          <w:p w14:paraId="66DC2EFB">
            <w:pPr>
              <w:shd w:val="clear" w:color="auto"/>
              <w:snapToGrid w:val="0"/>
              <w:spacing w:line="360" w:lineRule="auto"/>
              <w:jc w:val="center"/>
              <w:rPr>
                <w:rFonts w:ascii="Times New Roman" w:hAnsi="Times New Roman" w:eastAsia="仿宋_GB2312"/>
                <w:sz w:val="24"/>
                <w:highlight w:val="none"/>
              </w:rPr>
            </w:pPr>
            <w:r>
              <w:rPr>
                <w:rFonts w:hint="eastAsia" w:ascii="Times New Roman" w:hAnsi="Times New Roman" w:eastAsia="仿宋_GB2312"/>
                <w:sz w:val="24"/>
                <w:highlight w:val="none"/>
              </w:rPr>
              <w:t>酿造类</w:t>
            </w:r>
          </w:p>
        </w:tc>
        <w:tc>
          <w:tcPr>
            <w:tcW w:w="5650" w:type="dxa"/>
            <w:tcBorders>
              <w:top w:val="single" w:color="000000" w:sz="8" w:space="0"/>
              <w:left w:val="single" w:color="000000" w:sz="8" w:space="0"/>
              <w:bottom w:val="single" w:color="000000" w:sz="8" w:space="0"/>
              <w:right w:val="single" w:color="000000" w:sz="8" w:space="0"/>
            </w:tcBorders>
            <w:noWrap w:val="0"/>
            <w:tcMar>
              <w:top w:w="15" w:type="dxa"/>
              <w:left w:w="97" w:type="dxa"/>
              <w:bottom w:w="0" w:type="dxa"/>
              <w:right w:w="97" w:type="dxa"/>
            </w:tcMar>
            <w:vAlign w:val="center"/>
          </w:tcPr>
          <w:p w14:paraId="583F92E9">
            <w:pPr>
              <w:shd w:val="clear" w:color="auto"/>
              <w:snapToGrid w:val="0"/>
              <w:spacing w:line="360" w:lineRule="auto"/>
              <w:rPr>
                <w:rFonts w:hint="eastAsia" w:ascii="Times New Roman" w:hAnsi="Times New Roman" w:eastAsia="仿宋_GB2312"/>
                <w:sz w:val="24"/>
                <w:highlight w:val="none"/>
              </w:rPr>
            </w:pPr>
            <w:r>
              <w:rPr>
                <w:rFonts w:hint="eastAsia" w:ascii="Times New Roman" w:hAnsi="Times New Roman" w:eastAsia="仿宋_GB2312"/>
                <w:sz w:val="24"/>
                <w:highlight w:val="none"/>
              </w:rPr>
              <w:t>啤酒类酵母、葡萄酒果酒类酵母、其他辅料</w:t>
            </w:r>
          </w:p>
          <w:p w14:paraId="1966CB87">
            <w:pPr>
              <w:shd w:val="clear" w:color="auto"/>
              <w:snapToGrid w:val="0"/>
              <w:spacing w:line="360" w:lineRule="auto"/>
              <w:rPr>
                <w:rFonts w:hint="eastAsia" w:ascii="Times New Roman" w:hAnsi="Times New Roman" w:eastAsia="仿宋_GB2312"/>
                <w:sz w:val="24"/>
                <w:highlight w:val="none"/>
              </w:rPr>
            </w:pPr>
            <w:r>
              <w:rPr>
                <w:rFonts w:ascii="Times New Roman" w:hAnsi="Times New Roman" w:eastAsia="仿宋_GB2312"/>
                <w:b/>
                <w:bCs/>
                <w:sz w:val="24"/>
                <w:highlight w:val="none"/>
                <w:u w:val="single"/>
              </w:rPr>
              <w:fldChar w:fldCharType="begin"/>
            </w:r>
            <w:r>
              <w:rPr>
                <w:rFonts w:ascii="Times New Roman" w:hAnsi="Times New Roman" w:eastAsia="仿宋_GB2312"/>
                <w:b/>
                <w:bCs/>
                <w:sz w:val="24"/>
                <w:highlight w:val="none"/>
                <w:u w:val="single"/>
              </w:rPr>
              <w:instrText xml:space="preserve"> HYPERLINK "http://brew.angelyeast.com/" </w:instrText>
            </w:r>
            <w:r>
              <w:rPr>
                <w:rFonts w:ascii="Times New Roman" w:hAnsi="Times New Roman" w:eastAsia="仿宋_GB2312"/>
                <w:b/>
                <w:bCs/>
                <w:sz w:val="24"/>
                <w:highlight w:val="none"/>
                <w:u w:val="single"/>
              </w:rPr>
              <w:fldChar w:fldCharType="separate"/>
            </w:r>
            <w:r>
              <w:rPr>
                <w:rStyle w:val="4"/>
                <w:rFonts w:ascii="Times New Roman" w:hAnsi="Times New Roman" w:eastAsia="仿宋_GB2312"/>
                <w:b/>
                <w:bCs/>
                <w:sz w:val="24"/>
                <w:highlight w:val="none"/>
              </w:rPr>
              <w:t>http://brew.angelyeast.com</w:t>
            </w:r>
            <w:r>
              <w:rPr>
                <w:rFonts w:ascii="Times New Roman" w:hAnsi="Times New Roman" w:eastAsia="仿宋_GB2312"/>
                <w:sz w:val="24"/>
                <w:highlight w:val="none"/>
              </w:rPr>
              <w:fldChar w:fldCharType="end"/>
            </w:r>
          </w:p>
        </w:tc>
      </w:tr>
      <w:tr w14:paraId="2E79C068">
        <w:tblPrEx>
          <w:tblCellMar>
            <w:top w:w="0" w:type="dxa"/>
            <w:left w:w="0" w:type="dxa"/>
            <w:bottom w:w="0" w:type="dxa"/>
            <w:right w:w="0" w:type="dxa"/>
          </w:tblCellMar>
        </w:tblPrEx>
        <w:trPr>
          <w:trHeight w:val="803" w:hRule="atLeast"/>
          <w:jc w:val="center"/>
        </w:trPr>
        <w:tc>
          <w:tcPr>
            <w:tcW w:w="1701" w:type="dxa"/>
            <w:vMerge w:val="continue"/>
            <w:tcBorders>
              <w:left w:val="single" w:color="000000" w:sz="8" w:space="0"/>
              <w:bottom w:val="single" w:color="000000" w:sz="8" w:space="0"/>
              <w:right w:val="single" w:color="000000" w:sz="8" w:space="0"/>
            </w:tcBorders>
            <w:noWrap w:val="0"/>
            <w:vAlign w:val="center"/>
          </w:tcPr>
          <w:p w14:paraId="705B1151">
            <w:pPr>
              <w:shd w:val="clear" w:color="auto"/>
              <w:snapToGrid w:val="0"/>
              <w:spacing w:line="360" w:lineRule="auto"/>
              <w:rPr>
                <w:rFonts w:ascii="Times New Roman" w:hAnsi="Times New Roman" w:eastAsia="仿宋_GB2312"/>
                <w:b/>
                <w:bCs/>
                <w:sz w:val="24"/>
                <w:highlight w:val="none"/>
              </w:rPr>
            </w:pPr>
          </w:p>
        </w:tc>
        <w:tc>
          <w:tcPr>
            <w:tcW w:w="1485" w:type="dxa"/>
            <w:tcBorders>
              <w:top w:val="single" w:color="000000" w:sz="8" w:space="0"/>
              <w:left w:val="single" w:color="000000" w:sz="8" w:space="0"/>
              <w:bottom w:val="single" w:color="000000" w:sz="8" w:space="0"/>
              <w:right w:val="single" w:color="000000" w:sz="8" w:space="0"/>
            </w:tcBorders>
            <w:noWrap w:val="0"/>
            <w:tcMar>
              <w:top w:w="15" w:type="dxa"/>
              <w:left w:w="97" w:type="dxa"/>
              <w:bottom w:w="0" w:type="dxa"/>
              <w:right w:w="97" w:type="dxa"/>
            </w:tcMar>
            <w:vAlign w:val="center"/>
          </w:tcPr>
          <w:p w14:paraId="063FE7F6">
            <w:pPr>
              <w:shd w:val="clear" w:color="auto"/>
              <w:snapToGrid w:val="0"/>
              <w:spacing w:line="360" w:lineRule="auto"/>
              <w:jc w:val="center"/>
              <w:rPr>
                <w:rFonts w:hint="eastAsia" w:ascii="Times New Roman" w:hAnsi="Times New Roman" w:eastAsia="仿宋_GB2312"/>
                <w:sz w:val="24"/>
                <w:highlight w:val="none"/>
              </w:rPr>
            </w:pPr>
            <w:r>
              <w:rPr>
                <w:rFonts w:hint="eastAsia" w:ascii="Times New Roman" w:hAnsi="Times New Roman" w:eastAsia="仿宋_GB2312"/>
                <w:sz w:val="24"/>
                <w:highlight w:val="none"/>
              </w:rPr>
              <w:t>发酵食品</w:t>
            </w:r>
          </w:p>
        </w:tc>
        <w:tc>
          <w:tcPr>
            <w:tcW w:w="5650" w:type="dxa"/>
            <w:tcBorders>
              <w:top w:val="single" w:color="000000" w:sz="8" w:space="0"/>
              <w:left w:val="single" w:color="000000" w:sz="8" w:space="0"/>
              <w:bottom w:val="single" w:color="000000" w:sz="8" w:space="0"/>
              <w:right w:val="single" w:color="000000" w:sz="8" w:space="0"/>
            </w:tcBorders>
            <w:noWrap w:val="0"/>
            <w:tcMar>
              <w:top w:w="15" w:type="dxa"/>
              <w:left w:w="97" w:type="dxa"/>
              <w:bottom w:w="0" w:type="dxa"/>
              <w:right w:w="97" w:type="dxa"/>
            </w:tcMar>
            <w:vAlign w:val="center"/>
          </w:tcPr>
          <w:p w14:paraId="6C6657AB">
            <w:pPr>
              <w:shd w:val="clear" w:color="auto"/>
              <w:snapToGrid w:val="0"/>
              <w:spacing w:line="360" w:lineRule="auto"/>
              <w:rPr>
                <w:rFonts w:hint="eastAsia" w:ascii="Times New Roman" w:hAnsi="Times New Roman" w:eastAsia="仿宋_GB2312"/>
                <w:sz w:val="24"/>
                <w:highlight w:val="none"/>
              </w:rPr>
            </w:pPr>
            <w:r>
              <w:rPr>
                <w:rFonts w:hint="eastAsia" w:ascii="Times New Roman" w:hAnsi="Times New Roman" w:eastAsia="仿宋_GB2312"/>
                <w:sz w:val="24"/>
                <w:highlight w:val="none"/>
              </w:rPr>
              <w:t>酸奶发酵剂、泡菜发酵剂、康普茶发酵剂</w:t>
            </w:r>
          </w:p>
        </w:tc>
      </w:tr>
      <w:tr w14:paraId="11A3A582">
        <w:tblPrEx>
          <w:tblCellMar>
            <w:top w:w="0" w:type="dxa"/>
            <w:left w:w="0" w:type="dxa"/>
            <w:bottom w:w="0" w:type="dxa"/>
            <w:right w:w="0" w:type="dxa"/>
          </w:tblCellMar>
        </w:tblPrEx>
        <w:trPr>
          <w:trHeight w:val="887" w:hRule="atLeast"/>
          <w:jc w:val="center"/>
        </w:trPr>
        <w:tc>
          <w:tcPr>
            <w:tcW w:w="1701" w:type="dxa"/>
            <w:vMerge w:val="restart"/>
            <w:tcBorders>
              <w:top w:val="single" w:color="000000" w:sz="8" w:space="0"/>
              <w:left w:val="single" w:color="000000" w:sz="8" w:space="0"/>
              <w:right w:val="single" w:color="000000" w:sz="8" w:space="0"/>
            </w:tcBorders>
            <w:noWrap w:val="0"/>
            <w:vAlign w:val="center"/>
          </w:tcPr>
          <w:p w14:paraId="0417A3F8">
            <w:pPr>
              <w:shd w:val="clear" w:color="auto"/>
              <w:snapToGrid w:val="0"/>
              <w:spacing w:line="360" w:lineRule="auto"/>
              <w:jc w:val="center"/>
              <w:rPr>
                <w:rFonts w:hint="eastAsia" w:ascii="Times New Roman" w:hAnsi="Times New Roman" w:eastAsia="仿宋_GB2312"/>
                <w:b/>
                <w:bCs/>
                <w:sz w:val="24"/>
                <w:highlight w:val="none"/>
              </w:rPr>
            </w:pPr>
            <w:r>
              <w:rPr>
                <w:rFonts w:hint="eastAsia" w:ascii="Times New Roman" w:hAnsi="Times New Roman" w:eastAsia="仿宋_GB2312"/>
                <w:b/>
                <w:bCs/>
                <w:sz w:val="24"/>
                <w:highlight w:val="none"/>
              </w:rPr>
              <w:t>食品原料类</w:t>
            </w:r>
          </w:p>
        </w:tc>
        <w:tc>
          <w:tcPr>
            <w:tcW w:w="1485" w:type="dxa"/>
            <w:tcBorders>
              <w:top w:val="single" w:color="000000" w:sz="8" w:space="0"/>
              <w:left w:val="single" w:color="000000" w:sz="8" w:space="0"/>
              <w:bottom w:val="single" w:color="000000" w:sz="8" w:space="0"/>
              <w:right w:val="single" w:color="000000" w:sz="8" w:space="0"/>
            </w:tcBorders>
            <w:noWrap w:val="0"/>
            <w:tcMar>
              <w:top w:w="15" w:type="dxa"/>
              <w:left w:w="97" w:type="dxa"/>
              <w:bottom w:w="0" w:type="dxa"/>
              <w:right w:w="97" w:type="dxa"/>
            </w:tcMar>
            <w:vAlign w:val="center"/>
          </w:tcPr>
          <w:p w14:paraId="04205BCE">
            <w:pPr>
              <w:shd w:val="clear" w:color="auto"/>
              <w:snapToGrid w:val="0"/>
              <w:spacing w:line="360" w:lineRule="auto"/>
              <w:jc w:val="center"/>
              <w:rPr>
                <w:rFonts w:hint="eastAsia" w:ascii="Times New Roman" w:hAnsi="Times New Roman" w:eastAsia="仿宋_GB2312"/>
                <w:sz w:val="24"/>
                <w:highlight w:val="none"/>
              </w:rPr>
            </w:pPr>
            <w:r>
              <w:rPr>
                <w:rFonts w:hint="eastAsia" w:ascii="Times New Roman" w:hAnsi="Times New Roman" w:eastAsia="仿宋_GB2312"/>
                <w:sz w:val="24"/>
                <w:highlight w:val="none"/>
              </w:rPr>
              <w:t>酵母蛋白</w:t>
            </w:r>
          </w:p>
        </w:tc>
        <w:tc>
          <w:tcPr>
            <w:tcW w:w="5650" w:type="dxa"/>
            <w:tcBorders>
              <w:top w:val="single" w:color="000000" w:sz="8" w:space="0"/>
              <w:left w:val="single" w:color="000000" w:sz="8" w:space="0"/>
              <w:bottom w:val="single" w:color="000000" w:sz="8" w:space="0"/>
              <w:right w:val="single" w:color="000000" w:sz="8" w:space="0"/>
            </w:tcBorders>
            <w:noWrap w:val="0"/>
            <w:tcMar>
              <w:top w:w="15" w:type="dxa"/>
              <w:left w:w="97" w:type="dxa"/>
              <w:bottom w:w="0" w:type="dxa"/>
              <w:right w:w="97" w:type="dxa"/>
            </w:tcMar>
            <w:vAlign w:val="center"/>
          </w:tcPr>
          <w:p w14:paraId="48268C94">
            <w:pPr>
              <w:shd w:val="clear" w:color="auto"/>
              <w:snapToGrid w:val="0"/>
              <w:spacing w:line="360" w:lineRule="auto"/>
              <w:rPr>
                <w:rFonts w:ascii="Times New Roman" w:hAnsi="Times New Roman" w:eastAsia="仿宋_GB2312"/>
                <w:sz w:val="24"/>
                <w:highlight w:val="none"/>
              </w:rPr>
            </w:pPr>
            <w:r>
              <w:rPr>
                <w:rFonts w:hint="eastAsia" w:ascii="Times New Roman" w:hAnsi="Times New Roman" w:eastAsia="仿宋_GB2312"/>
                <w:sz w:val="24"/>
                <w:highlight w:val="none"/>
              </w:rPr>
              <w:t>酵母蛋白</w:t>
            </w:r>
            <w:r>
              <w:rPr>
                <w:rFonts w:ascii="Times New Roman" w:hAnsi="Times New Roman" w:eastAsia="仿宋_GB2312"/>
                <w:sz w:val="24"/>
                <w:highlight w:val="none"/>
              </w:rPr>
              <w:t>F80EC</w:t>
            </w:r>
            <w:r>
              <w:rPr>
                <w:rFonts w:hint="eastAsia" w:ascii="Times New Roman" w:hAnsi="Times New Roman" w:eastAsia="仿宋_GB2312"/>
                <w:sz w:val="24"/>
                <w:highlight w:val="none"/>
              </w:rPr>
              <w:t>、酵母蛋白</w:t>
            </w:r>
            <w:r>
              <w:rPr>
                <w:rFonts w:ascii="Times New Roman" w:hAnsi="Times New Roman" w:eastAsia="仿宋_GB2312"/>
                <w:sz w:val="24"/>
                <w:highlight w:val="none"/>
              </w:rPr>
              <w:t>YPD820</w:t>
            </w:r>
          </w:p>
          <w:p w14:paraId="3114FAFE">
            <w:pPr>
              <w:shd w:val="clear" w:color="auto"/>
              <w:snapToGrid w:val="0"/>
              <w:spacing w:line="360" w:lineRule="auto"/>
              <w:rPr>
                <w:rFonts w:hint="eastAsia" w:ascii="Times New Roman" w:hAnsi="Times New Roman" w:eastAsia="仿宋_GB2312"/>
                <w:sz w:val="24"/>
                <w:highlight w:val="none"/>
              </w:rPr>
            </w:pPr>
            <w:r>
              <w:rPr>
                <w:rFonts w:hint="eastAsia" w:ascii="Times New Roman" w:hAnsi="Times New Roman" w:eastAsia="仿宋_GB2312"/>
                <w:sz w:val="24"/>
                <w:highlight w:val="none"/>
              </w:rPr>
              <w:t>2</w:t>
            </w:r>
            <w:r>
              <w:rPr>
                <w:rFonts w:ascii="Times New Roman" w:hAnsi="Times New Roman" w:eastAsia="仿宋_GB2312"/>
                <w:sz w:val="24"/>
                <w:highlight w:val="none"/>
              </w:rPr>
              <w:t>023</w:t>
            </w:r>
            <w:r>
              <w:rPr>
                <w:rFonts w:hint="eastAsia" w:ascii="Times New Roman" w:hAnsi="Times New Roman" w:eastAsia="仿宋_GB2312"/>
                <w:sz w:val="24"/>
                <w:highlight w:val="none"/>
              </w:rPr>
              <w:t>年1</w:t>
            </w:r>
            <w:r>
              <w:rPr>
                <w:rFonts w:ascii="Times New Roman" w:hAnsi="Times New Roman" w:eastAsia="仿宋_GB2312"/>
                <w:sz w:val="24"/>
                <w:highlight w:val="none"/>
              </w:rPr>
              <w:t>2</w:t>
            </w:r>
            <w:r>
              <w:rPr>
                <w:rFonts w:hint="eastAsia" w:ascii="Times New Roman" w:hAnsi="Times New Roman" w:eastAsia="仿宋_GB2312"/>
                <w:sz w:val="24"/>
                <w:highlight w:val="none"/>
              </w:rPr>
              <w:t>月1日，</w:t>
            </w:r>
            <w:r>
              <w:rPr>
                <w:rFonts w:ascii="Times New Roman" w:hAnsi="Times New Roman" w:eastAsia="仿宋_GB2312"/>
                <w:sz w:val="24"/>
                <w:highlight w:val="none"/>
              </w:rPr>
              <w:t>由湖北省重点研发计划支持开发的酵母蛋白正式被国家卫健委列入新食品原料目录</w:t>
            </w:r>
          </w:p>
          <w:p w14:paraId="195F9414">
            <w:pPr>
              <w:shd w:val="clear" w:color="auto"/>
              <w:snapToGrid w:val="0"/>
              <w:spacing w:line="360" w:lineRule="auto"/>
              <w:rPr>
                <w:rFonts w:hint="eastAsia" w:ascii="Times New Roman" w:hAnsi="Times New Roman" w:eastAsia="仿宋_GB2312"/>
                <w:sz w:val="24"/>
                <w:highlight w:val="none"/>
              </w:rPr>
            </w:pPr>
            <w:r>
              <w:rPr>
                <w:rFonts w:hint="eastAsia" w:ascii="Times New Roman" w:hAnsi="Times New Roman" w:eastAsia="仿宋_GB2312"/>
                <w:sz w:val="24"/>
                <w:highlight w:val="none"/>
              </w:rPr>
              <w:t>可用于植基肉、蛋白饮料、乳品、肉制品、冷饮、健身食品、蛋白棒等产品中</w:t>
            </w:r>
          </w:p>
        </w:tc>
      </w:tr>
      <w:tr w14:paraId="25C5482B">
        <w:tblPrEx>
          <w:tblCellMar>
            <w:top w:w="0" w:type="dxa"/>
            <w:left w:w="0" w:type="dxa"/>
            <w:bottom w:w="0" w:type="dxa"/>
            <w:right w:w="0" w:type="dxa"/>
          </w:tblCellMar>
        </w:tblPrEx>
        <w:trPr>
          <w:trHeight w:val="887" w:hRule="atLeast"/>
          <w:jc w:val="center"/>
        </w:trPr>
        <w:tc>
          <w:tcPr>
            <w:tcW w:w="1701" w:type="dxa"/>
            <w:vMerge w:val="continue"/>
            <w:tcBorders>
              <w:left w:val="single" w:color="000000" w:sz="8" w:space="0"/>
              <w:right w:val="single" w:color="000000" w:sz="8" w:space="0"/>
            </w:tcBorders>
            <w:noWrap w:val="0"/>
            <w:vAlign w:val="center"/>
          </w:tcPr>
          <w:p w14:paraId="0D068AB5">
            <w:pPr>
              <w:shd w:val="clear" w:color="auto"/>
              <w:snapToGrid w:val="0"/>
              <w:spacing w:line="360" w:lineRule="auto"/>
              <w:jc w:val="center"/>
              <w:rPr>
                <w:rFonts w:ascii="Times New Roman" w:hAnsi="Times New Roman" w:eastAsia="仿宋_GB2312"/>
                <w:sz w:val="24"/>
                <w:highlight w:val="none"/>
              </w:rPr>
            </w:pPr>
          </w:p>
        </w:tc>
        <w:tc>
          <w:tcPr>
            <w:tcW w:w="1485" w:type="dxa"/>
            <w:tcBorders>
              <w:top w:val="single" w:color="000000" w:sz="8" w:space="0"/>
              <w:left w:val="single" w:color="000000" w:sz="8" w:space="0"/>
              <w:bottom w:val="single" w:color="000000" w:sz="8" w:space="0"/>
              <w:right w:val="single" w:color="000000" w:sz="8" w:space="0"/>
            </w:tcBorders>
            <w:noWrap w:val="0"/>
            <w:tcMar>
              <w:top w:w="15" w:type="dxa"/>
              <w:left w:w="97" w:type="dxa"/>
              <w:bottom w:w="0" w:type="dxa"/>
              <w:right w:w="97" w:type="dxa"/>
            </w:tcMar>
            <w:vAlign w:val="center"/>
          </w:tcPr>
          <w:p w14:paraId="3526A3C7">
            <w:pPr>
              <w:shd w:val="clear" w:color="auto"/>
              <w:snapToGrid w:val="0"/>
              <w:spacing w:line="360" w:lineRule="auto"/>
              <w:jc w:val="center"/>
              <w:rPr>
                <w:rFonts w:ascii="Times New Roman" w:hAnsi="Times New Roman" w:eastAsia="仿宋_GB2312"/>
                <w:sz w:val="24"/>
                <w:highlight w:val="none"/>
              </w:rPr>
            </w:pPr>
            <w:r>
              <w:rPr>
                <w:rFonts w:hint="eastAsia" w:ascii="Times New Roman" w:hAnsi="Times New Roman" w:eastAsia="仿宋_GB2312"/>
                <w:sz w:val="24"/>
                <w:highlight w:val="none"/>
              </w:rPr>
              <w:t>酵母抽提物(</w:t>
            </w:r>
            <w:r>
              <w:rPr>
                <w:rFonts w:ascii="Times New Roman" w:hAnsi="Times New Roman" w:eastAsia="仿宋_GB2312"/>
                <w:sz w:val="24"/>
                <w:highlight w:val="none"/>
              </w:rPr>
              <w:t>YE)</w:t>
            </w:r>
          </w:p>
        </w:tc>
        <w:tc>
          <w:tcPr>
            <w:tcW w:w="5650" w:type="dxa"/>
            <w:tcBorders>
              <w:top w:val="single" w:color="000000" w:sz="8" w:space="0"/>
              <w:left w:val="single" w:color="000000" w:sz="8" w:space="0"/>
              <w:bottom w:val="single" w:color="000000" w:sz="8" w:space="0"/>
              <w:right w:val="single" w:color="000000" w:sz="8" w:space="0"/>
            </w:tcBorders>
            <w:noWrap w:val="0"/>
            <w:tcMar>
              <w:top w:w="15" w:type="dxa"/>
              <w:left w:w="97" w:type="dxa"/>
              <w:bottom w:w="0" w:type="dxa"/>
              <w:right w:w="97" w:type="dxa"/>
            </w:tcMar>
            <w:vAlign w:val="center"/>
          </w:tcPr>
          <w:p w14:paraId="01C1EFFB">
            <w:pPr>
              <w:shd w:val="clear" w:color="auto"/>
              <w:snapToGrid w:val="0"/>
              <w:spacing w:line="360" w:lineRule="auto"/>
              <w:rPr>
                <w:rFonts w:hint="eastAsia" w:ascii="Times New Roman" w:hAnsi="Times New Roman" w:eastAsia="仿宋_GB2312"/>
                <w:sz w:val="24"/>
                <w:highlight w:val="none"/>
              </w:rPr>
            </w:pPr>
            <w:r>
              <w:rPr>
                <w:rFonts w:hint="eastAsia" w:ascii="Times New Roman" w:hAnsi="Times New Roman" w:eastAsia="仿宋_GB2312"/>
                <w:sz w:val="24"/>
                <w:highlight w:val="none"/>
              </w:rPr>
              <w:t>增强鲜味Y</w:t>
            </w:r>
            <w:r>
              <w:rPr>
                <w:rFonts w:ascii="Times New Roman" w:hAnsi="Times New Roman" w:eastAsia="仿宋_GB2312"/>
                <w:sz w:val="24"/>
                <w:highlight w:val="none"/>
              </w:rPr>
              <w:t>E</w:t>
            </w:r>
            <w:r>
              <w:rPr>
                <w:rFonts w:hint="eastAsia" w:ascii="Times New Roman" w:hAnsi="Times New Roman" w:eastAsia="仿宋_GB2312"/>
                <w:sz w:val="24"/>
                <w:highlight w:val="none"/>
              </w:rPr>
              <w:t>、特征风味Y</w:t>
            </w:r>
            <w:r>
              <w:rPr>
                <w:rFonts w:ascii="Times New Roman" w:hAnsi="Times New Roman" w:eastAsia="仿宋_GB2312"/>
                <w:sz w:val="24"/>
                <w:highlight w:val="none"/>
              </w:rPr>
              <w:t>E</w:t>
            </w:r>
            <w:r>
              <w:rPr>
                <w:rFonts w:hint="eastAsia" w:ascii="Times New Roman" w:hAnsi="Times New Roman" w:eastAsia="仿宋_GB2312"/>
                <w:sz w:val="24"/>
                <w:highlight w:val="none"/>
              </w:rPr>
              <w:t>、浓厚味Y</w:t>
            </w:r>
            <w:r>
              <w:rPr>
                <w:rFonts w:ascii="Times New Roman" w:hAnsi="Times New Roman" w:eastAsia="仿宋_GB2312"/>
                <w:sz w:val="24"/>
                <w:highlight w:val="none"/>
              </w:rPr>
              <w:t>E</w:t>
            </w:r>
            <w:r>
              <w:rPr>
                <w:rFonts w:hint="eastAsia" w:ascii="Times New Roman" w:hAnsi="Times New Roman" w:eastAsia="仿宋_GB2312"/>
                <w:sz w:val="24"/>
                <w:highlight w:val="none"/>
              </w:rPr>
              <w:t>、肽鲜系列Y</w:t>
            </w:r>
            <w:r>
              <w:rPr>
                <w:rFonts w:ascii="Times New Roman" w:hAnsi="Times New Roman" w:eastAsia="仿宋_GB2312"/>
                <w:sz w:val="24"/>
                <w:highlight w:val="none"/>
              </w:rPr>
              <w:t>E</w:t>
            </w:r>
            <w:r>
              <w:rPr>
                <w:rFonts w:hint="eastAsia" w:ascii="Times New Roman" w:hAnsi="Times New Roman" w:eastAsia="仿宋_GB2312"/>
                <w:sz w:val="24"/>
                <w:highlight w:val="none"/>
              </w:rPr>
              <w:t>、甜味领域Y</w:t>
            </w:r>
            <w:r>
              <w:rPr>
                <w:rFonts w:ascii="Times New Roman" w:hAnsi="Times New Roman" w:eastAsia="仿宋_GB2312"/>
                <w:sz w:val="24"/>
                <w:highlight w:val="none"/>
              </w:rPr>
              <w:t>E</w:t>
            </w:r>
            <w:r>
              <w:rPr>
                <w:rFonts w:hint="eastAsia" w:ascii="Times New Roman" w:hAnsi="Times New Roman" w:eastAsia="仿宋_GB2312"/>
                <w:sz w:val="24"/>
                <w:highlight w:val="none"/>
              </w:rPr>
              <w:t>、高膳食纤维、高蛋白</w:t>
            </w:r>
          </w:p>
          <w:p w14:paraId="506D8EC5">
            <w:pPr>
              <w:shd w:val="clear" w:color="auto"/>
              <w:snapToGrid w:val="0"/>
              <w:spacing w:line="360" w:lineRule="auto"/>
              <w:rPr>
                <w:rFonts w:ascii="Times New Roman" w:hAnsi="Times New Roman" w:eastAsia="仿宋_GB2312"/>
                <w:sz w:val="24"/>
                <w:highlight w:val="none"/>
              </w:rPr>
            </w:pPr>
            <w:r>
              <w:rPr>
                <w:rFonts w:ascii="Times New Roman" w:hAnsi="Times New Roman" w:eastAsia="仿宋_GB2312"/>
                <w:b/>
                <w:bCs/>
                <w:sz w:val="24"/>
                <w:highlight w:val="none"/>
              </w:rPr>
              <w:fldChar w:fldCharType="begin"/>
            </w:r>
            <w:r>
              <w:rPr>
                <w:rFonts w:ascii="Times New Roman" w:hAnsi="Times New Roman" w:eastAsia="仿宋_GB2312"/>
                <w:b/>
                <w:bCs/>
                <w:sz w:val="24"/>
                <w:highlight w:val="none"/>
              </w:rPr>
              <w:instrText xml:space="preserve"> HYPERLINK "http://ye.angelyeast.com/" </w:instrText>
            </w:r>
            <w:r>
              <w:rPr>
                <w:rFonts w:ascii="Times New Roman" w:hAnsi="Times New Roman" w:eastAsia="仿宋_GB2312"/>
                <w:b/>
                <w:bCs/>
                <w:sz w:val="24"/>
                <w:highlight w:val="none"/>
              </w:rPr>
              <w:fldChar w:fldCharType="separate"/>
            </w:r>
            <w:r>
              <w:rPr>
                <w:rStyle w:val="4"/>
                <w:rFonts w:ascii="Times New Roman" w:hAnsi="Times New Roman" w:eastAsia="仿宋_GB2312"/>
                <w:b/>
                <w:bCs/>
                <w:sz w:val="24"/>
                <w:highlight w:val="none"/>
              </w:rPr>
              <w:t>http://ye.angelyeast.com</w:t>
            </w:r>
            <w:r>
              <w:rPr>
                <w:rFonts w:ascii="Times New Roman" w:hAnsi="Times New Roman" w:eastAsia="仿宋_GB2312"/>
                <w:sz w:val="24"/>
                <w:highlight w:val="none"/>
              </w:rPr>
              <w:fldChar w:fldCharType="end"/>
            </w:r>
          </w:p>
        </w:tc>
      </w:tr>
      <w:tr w14:paraId="6035A528">
        <w:tblPrEx>
          <w:tblCellMar>
            <w:top w:w="0" w:type="dxa"/>
            <w:left w:w="0" w:type="dxa"/>
            <w:bottom w:w="0" w:type="dxa"/>
            <w:right w:w="0" w:type="dxa"/>
          </w:tblCellMar>
        </w:tblPrEx>
        <w:trPr>
          <w:trHeight w:val="921" w:hRule="atLeast"/>
          <w:jc w:val="center"/>
        </w:trPr>
        <w:tc>
          <w:tcPr>
            <w:tcW w:w="1701" w:type="dxa"/>
            <w:vMerge w:val="continue"/>
            <w:tcBorders>
              <w:left w:val="single" w:color="000000" w:sz="8" w:space="0"/>
              <w:bottom w:val="single" w:color="000000" w:sz="8" w:space="0"/>
              <w:right w:val="single" w:color="000000" w:sz="8" w:space="0"/>
            </w:tcBorders>
            <w:noWrap w:val="0"/>
            <w:vAlign w:val="center"/>
          </w:tcPr>
          <w:p w14:paraId="3DE36C19">
            <w:pPr>
              <w:shd w:val="clear" w:color="auto"/>
              <w:snapToGrid w:val="0"/>
              <w:spacing w:line="360" w:lineRule="auto"/>
              <w:rPr>
                <w:rFonts w:ascii="Times New Roman" w:hAnsi="Times New Roman" w:eastAsia="仿宋_GB2312"/>
                <w:sz w:val="24"/>
                <w:highlight w:val="none"/>
              </w:rPr>
            </w:pPr>
          </w:p>
        </w:tc>
        <w:tc>
          <w:tcPr>
            <w:tcW w:w="1485" w:type="dxa"/>
            <w:tcBorders>
              <w:top w:val="single" w:color="000000" w:sz="8" w:space="0"/>
              <w:left w:val="single" w:color="000000" w:sz="8" w:space="0"/>
              <w:bottom w:val="single" w:color="000000" w:sz="8" w:space="0"/>
              <w:right w:val="single" w:color="000000" w:sz="8" w:space="0"/>
            </w:tcBorders>
            <w:noWrap w:val="0"/>
            <w:tcMar>
              <w:top w:w="15" w:type="dxa"/>
              <w:left w:w="97" w:type="dxa"/>
              <w:bottom w:w="0" w:type="dxa"/>
              <w:right w:w="97" w:type="dxa"/>
            </w:tcMar>
            <w:vAlign w:val="center"/>
          </w:tcPr>
          <w:p w14:paraId="70FB3515">
            <w:pPr>
              <w:shd w:val="clear" w:color="auto"/>
              <w:snapToGrid w:val="0"/>
              <w:spacing w:line="360" w:lineRule="auto"/>
              <w:jc w:val="center"/>
              <w:rPr>
                <w:rFonts w:ascii="Times New Roman" w:hAnsi="Times New Roman" w:eastAsia="仿宋_GB2312"/>
                <w:sz w:val="24"/>
                <w:highlight w:val="none"/>
              </w:rPr>
            </w:pPr>
            <w:r>
              <w:rPr>
                <w:rFonts w:hint="eastAsia" w:ascii="Times New Roman" w:hAnsi="Times New Roman" w:eastAsia="仿宋_GB2312"/>
                <w:sz w:val="24"/>
                <w:highlight w:val="none"/>
              </w:rPr>
              <w:t>营养原料</w:t>
            </w:r>
          </w:p>
        </w:tc>
        <w:tc>
          <w:tcPr>
            <w:tcW w:w="5650" w:type="dxa"/>
            <w:tcBorders>
              <w:top w:val="single" w:color="000000" w:sz="8" w:space="0"/>
              <w:left w:val="single" w:color="000000" w:sz="8" w:space="0"/>
              <w:bottom w:val="single" w:color="000000" w:sz="8" w:space="0"/>
              <w:right w:val="single" w:color="000000" w:sz="8" w:space="0"/>
            </w:tcBorders>
            <w:noWrap w:val="0"/>
            <w:tcMar>
              <w:top w:w="15" w:type="dxa"/>
              <w:left w:w="97" w:type="dxa"/>
              <w:bottom w:w="0" w:type="dxa"/>
              <w:right w:w="97" w:type="dxa"/>
            </w:tcMar>
            <w:vAlign w:val="center"/>
          </w:tcPr>
          <w:p w14:paraId="358DB6D2">
            <w:pPr>
              <w:shd w:val="clear" w:color="auto"/>
              <w:snapToGrid w:val="0"/>
              <w:spacing w:line="360" w:lineRule="auto"/>
              <w:rPr>
                <w:rFonts w:ascii="Times New Roman" w:hAnsi="Times New Roman" w:eastAsia="仿宋_GB2312"/>
                <w:sz w:val="24"/>
                <w:highlight w:val="none"/>
              </w:rPr>
            </w:pPr>
            <w:r>
              <w:rPr>
                <w:rFonts w:hint="eastAsia" w:ascii="Times New Roman" w:hAnsi="Times New Roman" w:eastAsia="仿宋_GB2312"/>
                <w:sz w:val="24"/>
                <w:highlight w:val="none"/>
              </w:rPr>
              <w:t>酵母</w:t>
            </w:r>
            <w:r>
              <w:rPr>
                <w:rFonts w:ascii="Times New Roman" w:hAnsi="Times New Roman" w:eastAsia="仿宋_GB2312"/>
                <w:sz w:val="24"/>
                <w:highlight w:val="none"/>
              </w:rPr>
              <w:t>β-</w:t>
            </w:r>
            <w:r>
              <w:rPr>
                <w:rFonts w:hint="eastAsia" w:ascii="Times New Roman" w:hAnsi="Times New Roman" w:eastAsia="仿宋_GB2312"/>
                <w:sz w:val="24"/>
                <w:highlight w:val="none"/>
              </w:rPr>
              <w:t>葡聚糖、发酵人参、发酵黄精、谷胱甘肽酵母抽提物</w:t>
            </w:r>
          </w:p>
          <w:p w14:paraId="2AEC9388">
            <w:pPr>
              <w:shd w:val="clear" w:color="auto"/>
              <w:snapToGrid w:val="0"/>
              <w:spacing w:line="360" w:lineRule="auto"/>
              <w:rPr>
                <w:rFonts w:ascii="Times New Roman" w:hAnsi="Times New Roman" w:eastAsia="仿宋_GB2312"/>
                <w:sz w:val="24"/>
                <w:highlight w:val="none"/>
              </w:rPr>
            </w:pPr>
            <w:r>
              <w:rPr>
                <w:rStyle w:val="4"/>
                <w:rFonts w:ascii="Times New Roman" w:hAnsi="Times New Roman" w:eastAsia="仿宋_GB2312"/>
                <w:b/>
                <w:bCs/>
                <w:highlight w:val="none"/>
              </w:rPr>
              <w:fldChar w:fldCharType="begin"/>
            </w:r>
            <w:r>
              <w:rPr>
                <w:rStyle w:val="4"/>
                <w:rFonts w:ascii="Times New Roman" w:hAnsi="Times New Roman" w:eastAsia="仿宋_GB2312"/>
                <w:b/>
                <w:bCs/>
                <w:highlight w:val="none"/>
              </w:rPr>
              <w:instrText xml:space="preserve"> HYPERLINK "https://www.angelnutritech.com/" </w:instrText>
            </w:r>
            <w:r>
              <w:rPr>
                <w:rStyle w:val="4"/>
                <w:rFonts w:ascii="Times New Roman" w:hAnsi="Times New Roman" w:eastAsia="仿宋_GB2312"/>
                <w:b/>
                <w:bCs/>
                <w:highlight w:val="none"/>
              </w:rPr>
              <w:fldChar w:fldCharType="separate"/>
            </w:r>
            <w:r>
              <w:rPr>
                <w:rStyle w:val="4"/>
                <w:rFonts w:ascii="Times New Roman" w:hAnsi="Times New Roman" w:eastAsia="仿宋_GB2312"/>
                <w:b/>
                <w:bCs/>
                <w:sz w:val="24"/>
                <w:highlight w:val="none"/>
              </w:rPr>
              <w:t>https://www.angelnutritech.com</w:t>
            </w:r>
            <w:r>
              <w:rPr>
                <w:rStyle w:val="4"/>
                <w:rFonts w:ascii="Times New Roman" w:hAnsi="Times New Roman" w:eastAsia="仿宋_GB2312"/>
                <w:b/>
                <w:bCs/>
                <w:highlight w:val="none"/>
              </w:rPr>
              <w:fldChar w:fldCharType="end"/>
            </w:r>
          </w:p>
        </w:tc>
      </w:tr>
      <w:tr w14:paraId="2D49EA55">
        <w:tblPrEx>
          <w:tblCellMar>
            <w:top w:w="0" w:type="dxa"/>
            <w:left w:w="0" w:type="dxa"/>
            <w:bottom w:w="0" w:type="dxa"/>
            <w:right w:w="0" w:type="dxa"/>
          </w:tblCellMar>
        </w:tblPrEx>
        <w:trPr>
          <w:trHeight w:val="600" w:hRule="atLeast"/>
          <w:jc w:val="center"/>
        </w:trPr>
        <w:tc>
          <w:tcPr>
            <w:tcW w:w="3186" w:type="dxa"/>
            <w:gridSpan w:val="2"/>
            <w:tcBorders>
              <w:top w:val="single" w:color="000000" w:sz="8" w:space="0"/>
              <w:left w:val="single" w:color="000000" w:sz="8" w:space="0"/>
              <w:bottom w:val="single" w:color="000000" w:sz="8" w:space="0"/>
              <w:right w:val="single" w:color="000000" w:sz="8" w:space="0"/>
            </w:tcBorders>
            <w:noWrap w:val="0"/>
            <w:vAlign w:val="center"/>
          </w:tcPr>
          <w:p w14:paraId="7CEDBFB0">
            <w:pPr>
              <w:shd w:val="clear" w:color="auto"/>
              <w:snapToGrid w:val="0"/>
              <w:spacing w:line="360" w:lineRule="auto"/>
              <w:jc w:val="center"/>
              <w:rPr>
                <w:rFonts w:hint="eastAsia" w:ascii="Times New Roman" w:hAnsi="Times New Roman" w:eastAsia="仿宋_GB2312"/>
                <w:b/>
                <w:bCs/>
                <w:sz w:val="24"/>
                <w:highlight w:val="none"/>
              </w:rPr>
            </w:pPr>
            <w:r>
              <w:rPr>
                <w:rFonts w:hint="eastAsia" w:ascii="Times New Roman" w:hAnsi="Times New Roman" w:eastAsia="仿宋_GB2312"/>
                <w:b/>
                <w:bCs/>
                <w:sz w:val="24"/>
                <w:highlight w:val="none"/>
              </w:rPr>
              <w:t>安琪官方商城(供参考</w:t>
            </w:r>
            <w:r>
              <w:rPr>
                <w:rFonts w:ascii="Times New Roman" w:hAnsi="Times New Roman" w:eastAsia="仿宋_GB2312"/>
                <w:b/>
                <w:bCs/>
                <w:sz w:val="24"/>
                <w:highlight w:val="none"/>
              </w:rPr>
              <w:t>)</w:t>
            </w:r>
          </w:p>
        </w:tc>
        <w:tc>
          <w:tcPr>
            <w:tcW w:w="5650" w:type="dxa"/>
            <w:tcBorders>
              <w:top w:val="single" w:color="000000" w:sz="8" w:space="0"/>
              <w:left w:val="single" w:color="000000" w:sz="8" w:space="0"/>
              <w:bottom w:val="single" w:color="000000" w:sz="8" w:space="0"/>
              <w:right w:val="single" w:color="000000" w:sz="8" w:space="0"/>
            </w:tcBorders>
            <w:noWrap w:val="0"/>
            <w:tcMar>
              <w:top w:w="15" w:type="dxa"/>
              <w:left w:w="97" w:type="dxa"/>
              <w:bottom w:w="0" w:type="dxa"/>
              <w:right w:w="97" w:type="dxa"/>
            </w:tcMar>
            <w:vAlign w:val="center"/>
          </w:tcPr>
          <w:p w14:paraId="0ABFFD5B">
            <w:pPr>
              <w:shd w:val="clear" w:color="auto"/>
              <w:snapToGrid w:val="0"/>
              <w:spacing w:line="360" w:lineRule="auto"/>
              <w:rPr>
                <w:rFonts w:hint="eastAsia" w:ascii="Times New Roman" w:hAnsi="Times New Roman" w:eastAsia="仿宋_GB2312"/>
                <w:sz w:val="24"/>
                <w:highlight w:val="none"/>
              </w:rPr>
            </w:pPr>
            <w:r>
              <w:rPr>
                <w:rStyle w:val="4"/>
                <w:rFonts w:ascii="Times New Roman" w:hAnsi="Times New Roman" w:eastAsia="仿宋_GB2312"/>
                <w:b/>
                <w:bCs/>
                <w:sz w:val="24"/>
                <w:highlight w:val="none"/>
              </w:rPr>
              <w:fldChar w:fldCharType="begin"/>
            </w:r>
            <w:r>
              <w:rPr>
                <w:rStyle w:val="4"/>
                <w:rFonts w:ascii="Times New Roman" w:hAnsi="Times New Roman" w:eastAsia="仿宋_GB2312"/>
                <w:b/>
                <w:bCs/>
                <w:sz w:val="24"/>
                <w:highlight w:val="none"/>
              </w:rPr>
              <w:instrText xml:space="preserve"> HYPERLINK "https://shop.angelyeast.com" </w:instrText>
            </w:r>
            <w:r>
              <w:rPr>
                <w:rStyle w:val="4"/>
                <w:rFonts w:ascii="Times New Roman" w:hAnsi="Times New Roman" w:eastAsia="仿宋_GB2312"/>
                <w:b/>
                <w:bCs/>
                <w:sz w:val="24"/>
                <w:highlight w:val="none"/>
              </w:rPr>
              <w:fldChar w:fldCharType="separate"/>
            </w:r>
            <w:r>
              <w:rPr>
                <w:rStyle w:val="4"/>
                <w:rFonts w:ascii="Times New Roman" w:hAnsi="Times New Roman" w:eastAsia="仿宋_GB2312"/>
                <w:b/>
                <w:bCs/>
                <w:sz w:val="24"/>
                <w:highlight w:val="none"/>
              </w:rPr>
              <w:t>https://shop.angelyeast.com</w:t>
            </w:r>
            <w:r>
              <w:rPr>
                <w:rStyle w:val="4"/>
                <w:rFonts w:ascii="Times New Roman" w:hAnsi="Times New Roman" w:eastAsia="仿宋_GB2312"/>
                <w:b/>
                <w:bCs/>
                <w:sz w:val="24"/>
                <w:highlight w:val="none"/>
              </w:rPr>
              <w:fldChar w:fldCharType="end"/>
            </w:r>
          </w:p>
        </w:tc>
      </w:tr>
    </w:tbl>
    <w:p w14:paraId="1AD2D031">
      <w:pPr>
        <w:widowControl/>
        <w:shd w:val="clear" w:color="auto"/>
        <w:snapToGrid w:val="0"/>
        <w:spacing w:line="360" w:lineRule="auto"/>
        <w:ind w:firstLine="560" w:firstLineChars="200"/>
        <w:jc w:val="left"/>
        <w:rPr>
          <w:rFonts w:ascii="Times New Roman" w:hAnsi="Times New Roman" w:eastAsia="仿宋_GB2312"/>
          <w:sz w:val="28"/>
          <w:szCs w:val="28"/>
          <w:highlight w:val="none"/>
        </w:rPr>
      </w:pPr>
    </w:p>
    <w:p w14:paraId="643DFD4E">
      <w:pPr>
        <w:shd w:val="clear" w:color="auto"/>
        <w:snapToGrid w:val="0"/>
        <w:spacing w:line="360" w:lineRule="auto"/>
      </w:pPr>
      <w:r>
        <w:rPr>
          <w:rFonts w:hint="eastAsia" w:ascii="Times New Roman" w:hAnsi="Times New Roman" w:eastAsia="仿宋_GB2312"/>
          <w:b/>
          <w:bCs/>
          <w:sz w:val="24"/>
          <w:szCs w:val="28"/>
          <w:highlight w:val="none"/>
        </w:rPr>
        <w:t>注意事项：创意必须使用安琪公司的酵母蛋白为核心配料，否则认定为无效。</w:t>
      </w:r>
      <w:r>
        <w:rPr>
          <w:rFonts w:hint="eastAsia" w:ascii="Times New Roman" w:hAnsi="Times New Roman" w:eastAsia="仿宋_GB2312"/>
          <w:sz w:val="24"/>
          <w:szCs w:val="28"/>
          <w:highlight w:val="none"/>
        </w:rPr>
        <w:t>可从上表中选取1-2种产品作为其他原料或配料。开发的产品可以是食品原料、调味品等半成品，也可以是食品或饮料成品。要求外观优美，包装适宜，便于运输，保质期1个月以上。</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84A40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2025-05-07T04:01:23Z</dcterms:created>
  <dc:creator>29197</dc:creator>
  <cp:lastModifiedBy>Houwei</cp:lastModifiedBy>
  <dcterms:modified xsi:type="dcterms:W3CDTF">2025-05-07T04:01:43Z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eyJoZGlkIjoiNmU4NTU1ZGJkNDMzMDRmYWJmNDE1MWRhYTcxNzYyYzAiLCJ1c2VySWQiOiIzMTEzMzQzMzUifQ==</vt:lpwstr>
  </property>
  <property fmtid="{D5CDD505-2E9C-101B-9397-08002B2CF9AE}" pid="4" name="ICV">
    <vt:lpwstr>39B61843BB0A43338FE08CFA1133FB1E_12</vt:lpwstr>
  </property>
</Properties>
</file>